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C80142">
      <w:pPr>
        <w:rPr>
          <w:rFonts w:hint="default" w:ascii="楷体_GB2312" w:eastAsia="楷体_GB2312"/>
          <w:b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附件4：</w:t>
      </w:r>
    </w:p>
    <w:p w14:paraId="42DA341F">
      <w:pPr>
        <w:pStyle w:val="10"/>
        <w:rPr>
          <w:rFonts w:hint="eastAsia"/>
        </w:rPr>
      </w:pPr>
    </w:p>
    <w:p w14:paraId="15A4DC76"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202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sz w:val="44"/>
          <w:szCs w:val="44"/>
        </w:rPr>
        <w:t>年</w:t>
      </w:r>
      <w:r>
        <w:rPr>
          <w:rFonts w:hint="eastAsia" w:ascii="Calibri" w:hAnsi="Calibri" w:eastAsia="宋体" w:cs="Times New Roman"/>
          <w:b/>
          <w:bCs/>
          <w:sz w:val="44"/>
          <w:szCs w:val="44"/>
          <w:lang w:eastAsia="zh-CN"/>
        </w:rPr>
        <w:t>度</w:t>
      </w:r>
      <w:r>
        <w:rPr>
          <w:rFonts w:hint="eastAsia" w:ascii="Calibri" w:hAnsi="Calibri" w:eastAsia="宋体" w:cs="Times New Roman"/>
          <w:b/>
          <w:bCs/>
          <w:sz w:val="44"/>
          <w:szCs w:val="44"/>
        </w:rPr>
        <w:t>靖宇县工贸企业</w:t>
      </w:r>
    </w:p>
    <w:p w14:paraId="41C0A3D7">
      <w:pPr>
        <w:jc w:val="center"/>
        <w:rPr>
          <w:rFonts w:hint="eastAsia" w:ascii="Calibri" w:hAnsi="Calibri" w:eastAsia="宋体" w:cs="Times New Roman"/>
          <w:b/>
          <w:bCs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z w:val="44"/>
          <w:szCs w:val="44"/>
        </w:rPr>
        <w:t>安全生产监督检查计划</w:t>
      </w:r>
    </w:p>
    <w:p w14:paraId="2731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 w14:paraId="12A774F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黑体" w:eastAsia="黑体"/>
          <w:bCs/>
          <w:sz w:val="32"/>
          <w:szCs w:val="32"/>
        </w:rPr>
        <w:t>一、编制计划的依据</w:t>
      </w:r>
    </w:p>
    <w:p w14:paraId="6D02E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为认真履行安全生产监管职责，实现工商贸企业安全监管执法工作制度化、规范化和科学化，依据《中华人民共和国安全生产法》、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《应急管理行政执法人员依法履职管理规定》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《国家安全监管</w:t>
      </w:r>
      <w:r>
        <w:rPr>
          <w:rFonts w:hint="eastAsia" w:ascii="仿宋_GB2312" w:eastAsia="仿宋_GB2312"/>
          <w:sz w:val="32"/>
          <w:szCs w:val="32"/>
        </w:rPr>
        <w:t>总局关于印发&lt;安全生产年度监督检查计划编制办法&gt;的通知》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《吉林省安全生产条例》</w:t>
      </w:r>
      <w:r>
        <w:rPr>
          <w:rFonts w:hint="eastAsia" w:ascii="仿宋_GB2312" w:eastAsia="仿宋_GB2312"/>
          <w:sz w:val="32"/>
          <w:szCs w:val="32"/>
        </w:rPr>
        <w:t>的要求，结合我县安全生产监管执法工作实际，编制本监督检查计划。</w:t>
      </w:r>
    </w:p>
    <w:p w14:paraId="464905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工作目标</w:t>
      </w:r>
      <w:r>
        <w:rPr>
          <w:rFonts w:hint="eastAsia" w:ascii="黑体" w:eastAsia="黑体"/>
          <w:sz w:val="32"/>
          <w:szCs w:val="32"/>
        </w:rPr>
        <w:t>和</w:t>
      </w:r>
      <w:r>
        <w:rPr>
          <w:rFonts w:hint="eastAsia" w:ascii="黑体" w:eastAsia="黑体"/>
          <w:sz w:val="32"/>
          <w:szCs w:val="32"/>
          <w:lang w:val="en-US" w:eastAsia="zh-CN"/>
        </w:rPr>
        <w:t>主要任务</w:t>
      </w:r>
    </w:p>
    <w:p w14:paraId="32CEB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习近平新时代中国特色社会主义思想为指导，</w:t>
      </w:r>
      <w:r>
        <w:rPr>
          <w:rFonts w:hint="eastAsia" w:ascii="仿宋_GB2312" w:eastAsia="仿宋_GB2312"/>
          <w:sz w:val="32"/>
          <w:szCs w:val="32"/>
        </w:rPr>
        <w:t>以广泛深入开展安全生产隐患排查治理为主线，以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全面落实企业主体责任</w:t>
      </w:r>
      <w:r>
        <w:rPr>
          <w:rFonts w:hint="eastAsia" w:ascii="仿宋_GB2312" w:eastAsia="仿宋_GB2312"/>
          <w:sz w:val="32"/>
          <w:szCs w:val="32"/>
        </w:rPr>
        <w:t>、提高企业安全管理水平为目标，依法加大安全生产执法检查力度，规范执法检查行为，增强执法检查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计划性、针对性、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</w:t>
      </w:r>
      <w:r>
        <w:rPr>
          <w:rFonts w:hint="eastAsia" w:ascii="仿宋_GB2312" w:eastAsia="仿宋_GB2312"/>
          <w:sz w:val="32"/>
          <w:szCs w:val="32"/>
        </w:rPr>
        <w:t>效性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权威性</w:t>
      </w:r>
      <w:r>
        <w:rPr>
          <w:rFonts w:hint="eastAsia" w:ascii="仿宋_GB2312" w:eastAsia="仿宋_GB2312"/>
          <w:sz w:val="32"/>
          <w:szCs w:val="32"/>
        </w:rPr>
        <w:t>，建立规范的安全生产法治秩序，着力解决安全生产工作中的薄弱环节和突出问题,防范事故发生，保障全县安全生产形势稳定。</w:t>
      </w:r>
    </w:p>
    <w:p w14:paraId="3164B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安全生产执法检查遵循原则</w:t>
      </w:r>
    </w:p>
    <w:p w14:paraId="1D36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（一）依法行政原则。</w:t>
      </w:r>
      <w:r>
        <w:rPr>
          <w:rFonts w:hint="eastAsia" w:ascii="仿宋_GB2312" w:eastAsia="仿宋_GB2312"/>
          <w:sz w:val="32"/>
          <w:szCs w:val="32"/>
        </w:rPr>
        <w:t>依照《中华人民共和国安全生产法》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法律法规开展执法检查，严格执法、公正执法，不缺位、不越位、不错位。</w:t>
      </w:r>
    </w:p>
    <w:p w14:paraId="14A29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（二）属地监管原则。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依据《吉林省安全生产条例》及</w:t>
      </w:r>
      <w:r>
        <w:rPr>
          <w:rFonts w:hint="eastAsia" w:ascii="仿宋_GB2312" w:eastAsia="仿宋_GB2312"/>
          <w:sz w:val="32"/>
          <w:szCs w:val="32"/>
        </w:rPr>
        <w:t>安全生产分级、属地管理原则，</w:t>
      </w: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我县行</w:t>
      </w:r>
      <w:r>
        <w:rPr>
          <w:rFonts w:hint="eastAsia" w:ascii="仿宋_GB2312" w:eastAsia="仿宋_GB2312"/>
          <w:sz w:val="32"/>
          <w:szCs w:val="32"/>
          <w:lang w:eastAsia="zh-CN"/>
        </w:rPr>
        <w:t>政区域内的</w:t>
      </w:r>
      <w:r>
        <w:rPr>
          <w:rFonts w:hint="eastAsia" w:ascii="仿宋_GB2312" w:eastAsia="仿宋_GB2312"/>
          <w:sz w:val="32"/>
          <w:szCs w:val="32"/>
        </w:rPr>
        <w:t>重点工贸企业</w:t>
      </w:r>
      <w:r>
        <w:rPr>
          <w:rFonts w:hint="eastAsia" w:ascii="仿宋_GB2312" w:eastAsia="仿宋_GB2312"/>
          <w:sz w:val="32"/>
          <w:szCs w:val="32"/>
          <w:lang w:eastAsia="zh-CN"/>
        </w:rPr>
        <w:t>安全生产工作实施综合监督管理，</w:t>
      </w:r>
      <w:r>
        <w:rPr>
          <w:rFonts w:hint="eastAsia" w:ascii="仿宋_GB2312" w:eastAsia="仿宋_GB2312"/>
          <w:sz w:val="32"/>
          <w:szCs w:val="32"/>
        </w:rPr>
        <w:t>进行监督检查、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明察</w:t>
      </w:r>
      <w:r>
        <w:rPr>
          <w:rFonts w:hint="eastAsia" w:ascii="仿宋_GB2312" w:eastAsia="仿宋_GB2312"/>
          <w:sz w:val="32"/>
          <w:szCs w:val="32"/>
        </w:rPr>
        <w:t>查暗访或抽查。</w:t>
      </w:r>
    </w:p>
    <w:p w14:paraId="4BF0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</w:rPr>
        <w:t>三）覆盖原则。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我县行</w:t>
      </w:r>
      <w:r>
        <w:rPr>
          <w:rFonts w:hint="eastAsia" w:ascii="仿宋_GB2312" w:eastAsia="仿宋_GB2312"/>
          <w:sz w:val="32"/>
          <w:szCs w:val="32"/>
          <w:lang w:eastAsia="zh-CN"/>
        </w:rPr>
        <w:t>政区域内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粉尘涉爆、液氨制冷、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金属冶炼和规上工贸企业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全覆盖检查。对一般工贸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进行随机抽查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61D34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、执法检查</w:t>
      </w:r>
      <w:r>
        <w:rPr>
          <w:rFonts w:hint="eastAsia" w:ascii="黑体" w:eastAsia="黑体"/>
          <w:sz w:val="32"/>
          <w:szCs w:val="32"/>
          <w:lang w:val="en-US" w:eastAsia="zh-CN"/>
        </w:rPr>
        <w:t>对象</w:t>
      </w:r>
      <w:r>
        <w:rPr>
          <w:rFonts w:hint="eastAsia" w:ascii="黑体" w:eastAsia="黑体"/>
          <w:sz w:val="32"/>
          <w:szCs w:val="32"/>
        </w:rPr>
        <w:t>、次数</w:t>
      </w:r>
      <w:r>
        <w:rPr>
          <w:rFonts w:hint="eastAsia" w:ascii="黑体" w:eastAsia="黑体"/>
          <w:sz w:val="32"/>
          <w:szCs w:val="32"/>
          <w:lang w:val="en-US" w:eastAsia="zh-CN"/>
        </w:rPr>
        <w:t>和时间</w:t>
      </w:r>
    </w:p>
    <w:p w14:paraId="179B5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（一）执法检查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企业种类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我县行</w:t>
      </w:r>
      <w:r>
        <w:rPr>
          <w:rFonts w:hint="eastAsia" w:ascii="仿宋_GB2312" w:eastAsia="仿宋_GB2312"/>
          <w:sz w:val="32"/>
          <w:szCs w:val="32"/>
          <w:lang w:eastAsia="zh-CN"/>
        </w:rPr>
        <w:t>政区域内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粉尘涉爆、液氨制冷和规上及一般</w:t>
      </w:r>
      <w:r>
        <w:rPr>
          <w:rFonts w:hint="eastAsia" w:ascii="仿宋_GB2312" w:eastAsia="仿宋_GB2312"/>
          <w:sz w:val="32"/>
          <w:szCs w:val="32"/>
        </w:rPr>
        <w:t>工贸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企业。</w:t>
      </w:r>
    </w:p>
    <w:p w14:paraId="1846C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）执法检查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企业数量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根据全县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行业主管部门报送情况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目前县域内共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有粉尘涉爆企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业2户、液氨制冷企业2户、金属冶炼1户、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工贸</w:t>
      </w:r>
      <w:r>
        <w:rPr>
          <w:rFonts w:hint="eastAsia" w:ascii="仿宋_GB2312" w:eastAsia="仿宋_GB2312"/>
          <w:color w:val="000000"/>
          <w:sz w:val="32"/>
          <w:szCs w:val="32"/>
        </w:rPr>
        <w:t>规模以上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19户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和一般工贸企业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在完成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粉尘涉爆、液氨制冷、金属冶炼和规上工贸企业</w:t>
      </w:r>
      <w:r>
        <w:rPr>
          <w:rFonts w:hint="eastAsia" w:ascii="仿宋_GB2312" w:eastAsia="仿宋_GB2312"/>
          <w:color w:val="000000"/>
          <w:sz w:val="32"/>
          <w:szCs w:val="32"/>
        </w:rPr>
        <w:t>执法检查任务的同时，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20户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一般工贸企业，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“双随机一公开”执法检查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对其他行业领域内的重点企业，按照相关文件或行业主管部门邀请进行检查，</w:t>
      </w:r>
      <w:r>
        <w:rPr>
          <w:rFonts w:hint="eastAsia" w:ascii="仿宋_GB2312" w:eastAsia="仿宋_GB2312"/>
          <w:sz w:val="32"/>
          <w:szCs w:val="32"/>
        </w:rPr>
        <w:t>并加强对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行业主管部门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业务指导。</w:t>
      </w:r>
    </w:p>
    <w:p w14:paraId="56EB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）检查次数：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依照</w:t>
      </w:r>
      <w:r>
        <w:rPr>
          <w:rFonts w:hint="eastAsia" w:ascii="仿宋_GB2312" w:eastAsia="仿宋_GB2312"/>
          <w:sz w:val="32"/>
          <w:szCs w:val="32"/>
        </w:rPr>
        <w:t>《国家安全监管总局关于印发&lt;安全生产年度监督检查计划编制办法&gt;的通知》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，结合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我县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历年工贸领域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安全生产监管执法工作实际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，全年对粉尘涉爆、液氨制冷、金属冶炼和规上工贸企业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执法检查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不少于2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对一般工贸企业按照“双随机”要求，抽查率不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低于30%；对其他行业领域内的重点企业，按照相关文件或行业主管部门邀请的检查次数，根据实际情况确定。执法检查时</w:t>
      </w:r>
      <w:r>
        <w:rPr>
          <w:rFonts w:hint="eastAsia" w:ascii="仿宋_GB2312" w:eastAsia="仿宋_GB2312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邀请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乡镇政府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行业主管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或相关行业领域专家参与</w:t>
      </w:r>
      <w:r>
        <w:rPr>
          <w:rFonts w:hint="eastAsia" w:ascii="仿宋_GB2312" w:eastAsia="仿宋_GB2312"/>
          <w:sz w:val="32"/>
          <w:szCs w:val="32"/>
        </w:rPr>
        <w:t>，12月20日前完成。</w:t>
      </w:r>
    </w:p>
    <w:p w14:paraId="2340D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）检查时间：</w:t>
      </w:r>
      <w:r>
        <w:rPr>
          <w:rFonts w:hint="eastAsia" w:ascii="仿宋_GB2312" w:eastAsia="仿宋_GB2312"/>
          <w:sz w:val="32"/>
          <w:szCs w:val="32"/>
        </w:rPr>
        <w:t>根据工作开展情况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eastAsia="仿宋_GB2312"/>
          <w:sz w:val="32"/>
          <w:szCs w:val="32"/>
        </w:rPr>
        <w:t>具体执法检查时间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因上级工作部署和其他不可预见情况等因素导致当月检查计划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无法</w:t>
      </w:r>
      <w:r>
        <w:rPr>
          <w:rFonts w:hint="eastAsia" w:ascii="仿宋_GB2312" w:eastAsia="仿宋_GB2312"/>
          <w:sz w:val="32"/>
          <w:szCs w:val="32"/>
        </w:rPr>
        <w:t>完成的，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顺延至下一个月执行。</w:t>
      </w:r>
    </w:p>
    <w:p w14:paraId="439C009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" w:rightChars="-5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、监督检查执法工作日</w:t>
      </w:r>
    </w:p>
    <w:p w14:paraId="19E633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5" w:leftChars="-50" w:right="-105" w:rightChars="-5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总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作日（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492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个工作日）</w:t>
      </w:r>
    </w:p>
    <w:p w14:paraId="78E4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国家法定工作日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=全年总天数-双休日-法定节假日=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-5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×2-1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=2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color w:val="auto"/>
          <w:sz w:val="32"/>
          <w:szCs w:val="32"/>
        </w:rPr>
        <w:t>天。</w:t>
      </w:r>
    </w:p>
    <w:p w14:paraId="287E2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5" w:leftChars="-50" w:right="-105" w:rightChars="-5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全年总天数36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天；</w:t>
      </w:r>
    </w:p>
    <w:p w14:paraId="1697D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5" w:leftChars="-50" w:right="-105" w:rightChars="-5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双休日=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×2天/周=1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天；</w:t>
      </w:r>
    </w:p>
    <w:p w14:paraId="75089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5" w:leftChars="-50" w:right="-105" w:rightChars="-5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元旦、春节、清明、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、端午、中秋、国庆节等共计1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天法定假日。</w:t>
      </w:r>
    </w:p>
    <w:p w14:paraId="508E5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5" w:leftChars="-50" w:right="-105" w:rightChars="-5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总法定工作日=国家法定工作日×监管人员数量=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</w:t>
      </w:r>
    </w:p>
    <w:p w14:paraId="54240A4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（二）其他执法工作日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160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个工作日）</w:t>
      </w:r>
    </w:p>
    <w:p w14:paraId="77B8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1、组织生产事故调查和处理等相关工作</w:t>
      </w:r>
      <w:r>
        <w:rPr>
          <w:rFonts w:hint="eastAsia" w:ascii="仿宋_GB2312" w:eastAsia="仿宋_GB2312"/>
          <w:sz w:val="32"/>
          <w:szCs w:val="32"/>
        </w:rPr>
        <w:t>，安排15天×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人=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个工作日。占总工作日的6%</w:t>
      </w:r>
    </w:p>
    <w:p w14:paraId="7CEC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2、核实</w:t>
      </w:r>
      <w:r>
        <w:rPr>
          <w:rFonts w:hint="eastAsia" w:ascii="仿宋_GB2312" w:eastAsia="仿宋_GB2312"/>
          <w:color w:val="auto"/>
          <w:sz w:val="32"/>
          <w:szCs w:val="32"/>
        </w:rPr>
        <w:t>安全生产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投诉</w:t>
      </w:r>
      <w:r>
        <w:rPr>
          <w:rFonts w:hint="eastAsia" w:ascii="仿宋_GB2312" w:eastAsia="仿宋_GB2312"/>
          <w:color w:val="auto"/>
          <w:sz w:val="32"/>
          <w:szCs w:val="32"/>
        </w:rPr>
        <w:t>举报案件和信访件回复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等相关工作</w:t>
      </w:r>
      <w:r>
        <w:rPr>
          <w:rFonts w:hint="eastAsia" w:ascii="仿宋_GB2312" w:eastAsia="仿宋_GB2312"/>
          <w:color w:val="auto"/>
          <w:sz w:val="32"/>
          <w:szCs w:val="32"/>
        </w:rPr>
        <w:t>，安排15天×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人=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个工作日。占总工作日的6%</w:t>
      </w:r>
    </w:p>
    <w:p w14:paraId="795F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color w:val="auto"/>
          <w:sz w:val="32"/>
          <w:szCs w:val="32"/>
        </w:rPr>
        <w:t>安全生产隐患排查报告、跟踪监控、督促整改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等相关工作</w:t>
      </w:r>
      <w:r>
        <w:rPr>
          <w:rFonts w:hint="eastAsia" w:ascii="仿宋_GB2312" w:eastAsia="仿宋_GB2312"/>
          <w:color w:val="auto"/>
          <w:sz w:val="32"/>
          <w:szCs w:val="32"/>
        </w:rPr>
        <w:t>，安排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</w:rPr>
        <w:t>天×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人=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个工作日。占总工作日的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</w:p>
    <w:p w14:paraId="619F5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4、参加多部门联合执法和</w:t>
      </w:r>
      <w:r>
        <w:rPr>
          <w:rFonts w:hint="eastAsia" w:ascii="仿宋_GB2312" w:eastAsia="仿宋_GB2312"/>
          <w:color w:val="auto"/>
          <w:sz w:val="32"/>
          <w:szCs w:val="32"/>
        </w:rPr>
        <w:t>陪同上级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eastAsia="仿宋_GB2312"/>
          <w:color w:val="auto"/>
          <w:sz w:val="32"/>
          <w:szCs w:val="32"/>
        </w:rPr>
        <w:t>督查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</w:rPr>
        <w:t>检查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等相关</w:t>
      </w:r>
      <w:r>
        <w:rPr>
          <w:rFonts w:hint="eastAsia" w:ascii="仿宋_GB2312" w:eastAsia="仿宋_GB2312"/>
          <w:color w:val="auto"/>
          <w:sz w:val="32"/>
          <w:szCs w:val="32"/>
        </w:rPr>
        <w:t>工作，安排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天×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人=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color w:val="auto"/>
          <w:sz w:val="32"/>
          <w:szCs w:val="32"/>
        </w:rPr>
        <w:t>个工作日。占总工作日的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%</w:t>
      </w:r>
    </w:p>
    <w:p w14:paraId="5597C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5、开展安全生产宣传教育培训、督促企业进行安全生产标准化达标和进行专项整治验收等相关工作，安排15天×2人=30个作日。占总工作日的6%</w:t>
      </w:r>
    </w:p>
    <w:p w14:paraId="3EAFD24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（三）非执法工作日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64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个工作日）</w:t>
      </w:r>
    </w:p>
    <w:p w14:paraId="7D445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1、机关值班、学习、培训、考核、会议、参加党群活动、资料整理归档、文件起草等安排15天×2人=30个工作日。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占总工作日的6%</w:t>
      </w:r>
    </w:p>
    <w:p w14:paraId="25A38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2、病、事假和法定年休假安排17天×2人=34个工作日。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占总工作日的6.9%</w:t>
      </w:r>
    </w:p>
    <w:p w14:paraId="0FB33CA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（四）执法检查工作日（268个工作日）</w:t>
      </w:r>
    </w:p>
    <w:p w14:paraId="60D9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执法检查工作日=总法定工作日-其他执法工作日-非执法工作日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=492-160-64=268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个工作日，每人134天。占总工作日的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55%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554ED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、工商贸企业执法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工作分配</w:t>
      </w:r>
    </w:p>
    <w:p w14:paraId="2C68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我县行</w:t>
      </w:r>
      <w:r>
        <w:rPr>
          <w:rFonts w:hint="eastAsia" w:ascii="仿宋_GB2312" w:eastAsia="仿宋_GB2312"/>
          <w:sz w:val="32"/>
          <w:szCs w:val="32"/>
          <w:lang w:eastAsia="zh-CN"/>
        </w:rPr>
        <w:t>政区域内的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粉尘涉爆、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液氨制冷和规上工贸企业</w:t>
      </w:r>
      <w:r>
        <w:rPr>
          <w:rFonts w:hint="eastAsia" w:ascii="仿宋_GB2312" w:eastAsia="仿宋_GB2312"/>
          <w:sz w:val="32"/>
          <w:szCs w:val="32"/>
        </w:rPr>
        <w:t>每年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至少执法</w:t>
      </w:r>
      <w:r>
        <w:rPr>
          <w:rFonts w:hint="eastAsia"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一般工贸企业按照“双随机”要求，抽查率不低于30%；对其他行业领域内的重点企业，按照相关文件或行业主管部门邀请的检查次数，根据实际情况确定。</w:t>
      </w:r>
    </w:p>
    <w:p w14:paraId="432DE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、执法检查的主要</w:t>
      </w:r>
      <w:r>
        <w:rPr>
          <w:rFonts w:hint="eastAsia" w:ascii="黑体" w:eastAsia="黑体"/>
          <w:sz w:val="32"/>
          <w:szCs w:val="32"/>
          <w:lang w:val="en-US" w:eastAsia="zh-CN"/>
        </w:rPr>
        <w:t>内容</w:t>
      </w:r>
    </w:p>
    <w:p w14:paraId="575D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按照《中华人民共和国安全生产法》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《应急管理行政执法人员依法履职管理规定》等法律法规规定的重点</w:t>
      </w:r>
      <w:r>
        <w:rPr>
          <w:rFonts w:hint="eastAsia" w:ascii="仿宋_GB2312" w:eastAsia="仿宋_GB2312"/>
          <w:sz w:val="32"/>
          <w:szCs w:val="32"/>
        </w:rPr>
        <w:t>检查事项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确定具体的检查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eastAsia="仿宋_GB2312"/>
          <w:sz w:val="32"/>
          <w:szCs w:val="32"/>
        </w:rPr>
        <w:t>。围绕彻底排除重大隐患、控制一般事故、杜绝较大以上事故的工作目标，执法的重点内容根据不同时段安全生产工作的实际需要可有所侧重。</w:t>
      </w:r>
    </w:p>
    <w:p w14:paraId="3BB8D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、执法检查结果的处理</w:t>
      </w:r>
    </w:p>
    <w:p w14:paraId="19CC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执法检查结果应按照《中华人民共和国安全生产法》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《应急管理行政执法人员依法履职管理规定》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法律法规</w:t>
      </w:r>
      <w:r>
        <w:rPr>
          <w:rFonts w:hint="eastAsia" w:ascii="仿宋_GB2312" w:eastAsia="仿宋_GB2312"/>
          <w:sz w:val="32"/>
          <w:szCs w:val="32"/>
        </w:rPr>
        <w:t>进行处理：</w:t>
      </w:r>
    </w:p>
    <w:p w14:paraId="2AA9B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1、要求企业进行整改的，应下达书面整改指令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7854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2、应当立案查处的，应依法进行立案查处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E825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3、应当由其他部门处理的，应及时书面通报并移送相关部门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13B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4、应当依法提请人民政府决定关闭取缔的，应及时向人民政府书面报告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15FB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、执法要求</w:t>
      </w:r>
    </w:p>
    <w:p w14:paraId="60068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（一）认清形势，提高认识。</w:t>
      </w:r>
      <w:r>
        <w:rPr>
          <w:rFonts w:hint="eastAsia" w:ascii="仿宋_GB2312" w:eastAsia="仿宋_GB2312"/>
          <w:sz w:val="32"/>
          <w:szCs w:val="32"/>
        </w:rPr>
        <w:t>加强行政执法，减少和控制事故发生，是事关民生、事关社会和谐的一项重要政治任务，也是确保重大活动、重要时段安全稳定的一条重要举措。执法人员一定要充分认清做好执法工作的重要性和必要性，增强紧迫感、责任感和使命感，做到思想上更加重视、目标上更加明确、方法上更加科学、工作上更加扎实，确保执法工作取得实效。</w:t>
      </w:r>
    </w:p>
    <w:p w14:paraId="68F9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（二）突出重点，狠抓落实。</w:t>
      </w:r>
      <w:r>
        <w:rPr>
          <w:rFonts w:hint="eastAsia" w:ascii="仿宋_GB2312" w:eastAsia="仿宋_GB2312"/>
          <w:sz w:val="32"/>
          <w:szCs w:val="32"/>
        </w:rPr>
        <w:t>要细化执法任务，做好执法检查准备，做到时间、人员、内容、效果“四落实”。 要统筹兼顾，上下沟通，优先安排每月到期必须进行复查的企业。要严肃查处安全生产领域的违章、违法行为，督促生产经营单位全面落实安全生产主体责任。加大事故隐患排查治理，落实隐患排查治理工作责任。结合重大活动、重大节假日期间安全生产工作的要求，从基础和本质上改善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安全状况。</w:t>
      </w:r>
    </w:p>
    <w:p w14:paraId="77CFB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(三)细分隐患，有的放矢。</w:t>
      </w:r>
      <w:r>
        <w:rPr>
          <w:rFonts w:hint="eastAsia" w:ascii="仿宋_GB2312" w:eastAsia="仿宋_GB2312"/>
          <w:color w:val="000000"/>
          <w:sz w:val="32"/>
          <w:szCs w:val="32"/>
        </w:rPr>
        <w:t>要将执法检查查出的隐患，进一步分析统计，及时组织专家协助企业研究制定整改方案，根据隐患的性质和特征确定出下个月的检查重点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结合季节性特点和重点时期、重点时段的特殊要求，随时调整检查计划，对企业要通过“四不两直”、突击检查、巡查暗访等方式，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严格监督企业安全生产工作</w:t>
      </w:r>
      <w:r>
        <w:rPr>
          <w:rFonts w:hint="eastAsia" w:ascii="仿宋_GB2312" w:eastAsia="仿宋_GB2312"/>
          <w:color w:val="000000"/>
          <w:sz w:val="32"/>
          <w:szCs w:val="32"/>
        </w:rPr>
        <w:t>，推动企业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落实主体责任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0A512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（四）规范办案，依法行政。</w:t>
      </w:r>
      <w:r>
        <w:rPr>
          <w:rFonts w:hint="eastAsia" w:ascii="仿宋_GB2312" w:eastAsia="仿宋_GB2312"/>
          <w:sz w:val="32"/>
          <w:szCs w:val="32"/>
        </w:rPr>
        <w:t>依法行政，文明执法，是执法检查的基本要求。执法过程中，执法人员要熟悉相关法</w:t>
      </w:r>
      <w:r>
        <w:rPr>
          <w:rFonts w:hint="eastAsia" w:ascii="仿宋_GB2312" w:eastAsia="仿宋_GB2312"/>
          <w:color w:val="000000"/>
          <w:sz w:val="32"/>
          <w:szCs w:val="32"/>
        </w:rPr>
        <w:t>律、法规和标准并准确运用；要严格行政执法程序，规范行政执法行为，做到事实清楚、证据确凿、程序合法、适用法律准确、使用法律文书规范、处罚适当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60158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 w14:paraId="7EC2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 w14:paraId="73D9C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1.2025年度靖宇县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粉尘涉爆、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液氨制冷、金属冶炼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企业名单</w:t>
      </w:r>
    </w:p>
    <w:p w14:paraId="02258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2.2025年度靖宇县规模以上工贸企业名单</w:t>
      </w:r>
    </w:p>
    <w:p w14:paraId="11B5B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b/>
          <w:sz w:val="44"/>
          <w:szCs w:val="44"/>
          <w:u w:val="none" w:color="auto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3.2025年度靖宇县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一般工贸企业名单</w:t>
      </w:r>
    </w:p>
    <w:p w14:paraId="5FA7E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.一般工贸企业检查（双随机一公开抽查计划）计划表</w:t>
      </w:r>
    </w:p>
    <w:p w14:paraId="4E6A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0117328">
      <w:pPr>
        <w:spacing w:line="5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附件1：</w:t>
      </w:r>
    </w:p>
    <w:p w14:paraId="7113B8EB">
      <w:pPr>
        <w:pStyle w:val="10"/>
        <w:rPr>
          <w:rFonts w:hint="eastAsia"/>
        </w:rPr>
      </w:pPr>
    </w:p>
    <w:p w14:paraId="0241F0D3"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2025年度靖宇县粉尘涉爆、</w:t>
      </w:r>
    </w:p>
    <w:p w14:paraId="1885A0FD"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液氨制冷、金属冶炼企业名单</w:t>
      </w:r>
    </w:p>
    <w:p w14:paraId="0837DB78">
      <w:pPr>
        <w:pStyle w:val="10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468"/>
      </w:tblGrid>
      <w:tr w14:paraId="6F2FF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F44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CC06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称</w:t>
            </w:r>
          </w:p>
        </w:tc>
      </w:tr>
      <w:tr w14:paraId="2ECA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55A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8D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吉林华邦新材料科技有限公司</w:t>
            </w:r>
          </w:p>
        </w:tc>
      </w:tr>
      <w:tr w14:paraId="52A2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49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DEE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吉林省岳桦木业有限公司</w:t>
            </w:r>
          </w:p>
        </w:tc>
      </w:tr>
      <w:tr w14:paraId="22B4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E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4C0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白山市绿园生态农业有限公司</w:t>
            </w:r>
          </w:p>
        </w:tc>
      </w:tr>
      <w:tr w14:paraId="6D1B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E2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31CB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靖宇县鑫开源农副产品有限公司</w:t>
            </w:r>
          </w:p>
        </w:tc>
      </w:tr>
      <w:tr w14:paraId="41D6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68E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9D2A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靖宇县鸿诚硅业有限公司</w:t>
            </w:r>
          </w:p>
        </w:tc>
      </w:tr>
      <w:tr w14:paraId="1212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95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247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C2A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61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3B8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B05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81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C0E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A6B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CD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5EB1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799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13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6FA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1C7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CC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399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1BAF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E7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BA9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369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40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81D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745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75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D7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EF1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C8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17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F81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D1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EDD6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481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C0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3FF35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39B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87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2B75">
            <w:pPr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CAD44CD">
      <w:pPr>
        <w:spacing w:line="5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ED50E22">
      <w:pPr>
        <w:spacing w:line="5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4021DD8">
      <w:pPr>
        <w:spacing w:line="5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 w14:paraId="2471D300">
      <w:pPr>
        <w:pStyle w:val="10"/>
        <w:rPr>
          <w:rFonts w:hint="eastAsia"/>
        </w:rPr>
      </w:pPr>
    </w:p>
    <w:p w14:paraId="52E3B42B"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2025年度靖宇县规模以上工贸企业名单</w:t>
      </w:r>
    </w:p>
    <w:p w14:paraId="4EA92CC4">
      <w:pPr>
        <w:pStyle w:val="10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468"/>
      </w:tblGrid>
      <w:tr w14:paraId="144A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A8C23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763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称</w:t>
            </w:r>
          </w:p>
        </w:tc>
      </w:tr>
      <w:tr w14:paraId="5233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D1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7D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靖宇亚泰泉润建材有限公司</w:t>
            </w:r>
          </w:p>
        </w:tc>
      </w:tr>
      <w:tr w14:paraId="4B0B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BE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5CD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农夫山泉吉林长白山有限公司</w:t>
            </w:r>
          </w:p>
        </w:tc>
      </w:tr>
      <w:tr w14:paraId="6B8B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8C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123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白山娃哈哈饮料有限公司</w:t>
            </w:r>
          </w:p>
        </w:tc>
      </w:tr>
      <w:tr w14:paraId="41B9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BB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14A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吉林天士力矿泉饮品有限公司</w:t>
            </w:r>
          </w:p>
        </w:tc>
      </w:tr>
      <w:tr w14:paraId="21E8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4A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DA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靖宇县海源矿泉饮品有限责任公司</w:t>
            </w:r>
          </w:p>
        </w:tc>
      </w:tr>
      <w:tr w14:paraId="6210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CE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54A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翠林矿泉水集团股份有限公司</w:t>
            </w:r>
          </w:p>
        </w:tc>
      </w:tr>
      <w:tr w14:paraId="2FF8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E6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98D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靖宇县翠林包装材料有限公司</w:t>
            </w:r>
          </w:p>
        </w:tc>
      </w:tr>
      <w:tr w14:paraId="61CB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94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F3D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靖宇县荣兴包装有限公司</w:t>
            </w:r>
          </w:p>
        </w:tc>
      </w:tr>
      <w:tr w14:paraId="2455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C37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B5B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靖宇县新兴食品有限公司</w:t>
            </w:r>
          </w:p>
        </w:tc>
      </w:tr>
      <w:tr w14:paraId="6089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BA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B70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通用嘉禾（吉林）天然药物有限公司</w:t>
            </w:r>
          </w:p>
        </w:tc>
      </w:tr>
      <w:tr w14:paraId="5B9F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00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0C6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靖宇美康人参基地有限责任公司</w:t>
            </w:r>
          </w:p>
        </w:tc>
      </w:tr>
      <w:tr w14:paraId="7AA9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F0B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B468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白山林村中药开发有限公司</w:t>
            </w:r>
          </w:p>
        </w:tc>
      </w:tr>
      <w:tr w14:paraId="4911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16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527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吉林省裕盛中药材有限公司</w:t>
            </w:r>
          </w:p>
        </w:tc>
      </w:tr>
      <w:tr w14:paraId="7E95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5F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20B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吉林省福文人参制品有限公司</w:t>
            </w:r>
          </w:p>
        </w:tc>
      </w:tr>
      <w:tr w14:paraId="31AE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7A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75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吉林省靖发生物科技开发有限公司</w:t>
            </w:r>
          </w:p>
        </w:tc>
      </w:tr>
      <w:tr w14:paraId="1980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EF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BDB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吉林裕泰特产开发有限公司</w:t>
            </w:r>
          </w:p>
        </w:tc>
      </w:tr>
      <w:tr w14:paraId="640B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4C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2B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吉林靖宇炳华中药开发有限公司</w:t>
            </w:r>
          </w:p>
        </w:tc>
      </w:tr>
      <w:tr w14:paraId="0F85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E9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EAF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吉林参世家药业有限公司</w:t>
            </w:r>
          </w:p>
        </w:tc>
      </w:tr>
      <w:tr w14:paraId="7087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FFC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2EA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吉林蓝域农业发展有限公司</w:t>
            </w:r>
          </w:p>
        </w:tc>
      </w:tr>
      <w:tr w14:paraId="7FC2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48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2AE0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84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AC1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330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B09602B">
      <w:pPr>
        <w:spacing w:line="5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73D0E2F">
      <w:pPr>
        <w:spacing w:line="5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 w14:paraId="4FC1408F">
      <w:pPr>
        <w:pStyle w:val="10"/>
        <w:ind w:left="0" w:leftChars="0" w:firstLine="0" w:firstLineChars="0"/>
        <w:rPr>
          <w:rFonts w:hint="eastAsia"/>
        </w:rPr>
      </w:pPr>
    </w:p>
    <w:p w14:paraId="4FA3510A">
      <w:pPr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2025年度靖宇县一般工贸企业名单</w:t>
      </w:r>
    </w:p>
    <w:p w14:paraId="3FE1DBFC">
      <w:pPr>
        <w:pStyle w:val="10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622"/>
      </w:tblGrid>
      <w:tr w14:paraId="4CA3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0F00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34F84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企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称</w:t>
            </w:r>
          </w:p>
        </w:tc>
      </w:tr>
      <w:tr w14:paraId="7866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F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B75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康师傅（吉林）长白山有限公司</w:t>
            </w:r>
          </w:p>
        </w:tc>
      </w:tr>
      <w:tr w14:paraId="3E6C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3B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03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吉林长白山福爱生物科技有限公司</w:t>
            </w:r>
          </w:p>
        </w:tc>
      </w:tr>
      <w:tr w14:paraId="04BA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B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B0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靖宇修元矿泉饮品有限公司</w:t>
            </w:r>
          </w:p>
        </w:tc>
      </w:tr>
      <w:tr w14:paraId="1F57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F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134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靖宇县德亚矿泉饮品有限公司</w:t>
            </w:r>
          </w:p>
        </w:tc>
      </w:tr>
      <w:tr w14:paraId="2BF6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92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1A35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吉林省松海泉矿泉饮品有限公司</w:t>
            </w:r>
          </w:p>
        </w:tc>
      </w:tr>
      <w:tr w14:paraId="49F1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F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8F7A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靖宇县兴和特产品有限责任公司</w:t>
            </w:r>
          </w:p>
        </w:tc>
      </w:tr>
      <w:tr w14:paraId="1607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42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955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靖宇县超越玄武岩石材有限公司</w:t>
            </w:r>
          </w:p>
        </w:tc>
      </w:tr>
      <w:tr w14:paraId="18A7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D7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4712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靖宇县万家装饰城</w:t>
            </w:r>
          </w:p>
        </w:tc>
      </w:tr>
      <w:tr w14:paraId="6F82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8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70AD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靖宇县希尔斯温泉酒店</w:t>
            </w:r>
          </w:p>
        </w:tc>
      </w:tr>
      <w:tr w14:paraId="0C43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61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E2E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靖宇县万家乐时代购物广场</w:t>
            </w:r>
          </w:p>
        </w:tc>
      </w:tr>
      <w:tr w14:paraId="49D0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6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7F8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靖宇县万家乐三道街超市</w:t>
            </w:r>
          </w:p>
        </w:tc>
      </w:tr>
      <w:tr w14:paraId="0804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9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531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靖宇县昌盛市场开发有限公司</w:t>
            </w:r>
          </w:p>
        </w:tc>
      </w:tr>
      <w:tr w14:paraId="564E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F7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B0C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靖宇县爱仁小镇</w:t>
            </w:r>
          </w:p>
        </w:tc>
      </w:tr>
      <w:tr w14:paraId="5D3B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5D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8224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靖宇县亿昇水世界乐园</w:t>
            </w:r>
          </w:p>
        </w:tc>
      </w:tr>
      <w:tr w14:paraId="482F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533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ABA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靖宇县亿升水宾馆</w:t>
            </w:r>
          </w:p>
        </w:tc>
      </w:tr>
      <w:tr w14:paraId="3D77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8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51E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靖宇县龙泰商务宾馆</w:t>
            </w:r>
          </w:p>
        </w:tc>
      </w:tr>
      <w:tr w14:paraId="08E4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FB2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C2E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靖宇县怡路商务宾馆</w:t>
            </w:r>
          </w:p>
        </w:tc>
      </w:tr>
      <w:tr w14:paraId="46C4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C6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FB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靖宇县速8酒店</w:t>
            </w:r>
          </w:p>
        </w:tc>
      </w:tr>
      <w:tr w14:paraId="4A0B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7B8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956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靖宇县七天酒店</w:t>
            </w:r>
          </w:p>
        </w:tc>
      </w:tr>
      <w:tr w14:paraId="4BB44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F7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C7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靖宇县鼎盛酒店</w:t>
            </w:r>
          </w:p>
        </w:tc>
      </w:tr>
      <w:tr w14:paraId="4539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9E4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B2F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446110D"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7A44215">
      <w:pPr>
        <w:spacing w:line="56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 w14:paraId="659AC0D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一般</w:t>
      </w: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工贸</w:t>
      </w:r>
      <w:r>
        <w:rPr>
          <w:rFonts w:hint="eastAsia" w:ascii="宋体" w:hAnsi="宋体"/>
          <w:b/>
          <w:color w:val="auto"/>
          <w:sz w:val="44"/>
          <w:szCs w:val="44"/>
        </w:rPr>
        <w:t>企业检查（双随机一公开抽查计划）计划表</w:t>
      </w:r>
    </w:p>
    <w:tbl>
      <w:tblPr>
        <w:tblStyle w:val="6"/>
        <w:tblpPr w:leftFromText="180" w:rightFromText="180" w:vertAnchor="text" w:horzAnchor="page" w:tblpX="1746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12"/>
        <w:gridCol w:w="1830"/>
        <w:gridCol w:w="1956"/>
        <w:gridCol w:w="806"/>
        <w:gridCol w:w="1276"/>
        <w:gridCol w:w="1843"/>
        <w:gridCol w:w="1192"/>
        <w:gridCol w:w="1501"/>
        <w:gridCol w:w="883"/>
      </w:tblGrid>
      <w:tr w14:paraId="2D59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75" w:type="dxa"/>
            <w:noWrap w:val="0"/>
            <w:vAlign w:val="center"/>
          </w:tcPr>
          <w:p w14:paraId="213999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12" w:type="dxa"/>
            <w:noWrap w:val="0"/>
            <w:vAlign w:val="center"/>
          </w:tcPr>
          <w:p w14:paraId="4EEDE9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计划名称</w:t>
            </w:r>
          </w:p>
        </w:tc>
        <w:tc>
          <w:tcPr>
            <w:tcW w:w="1830" w:type="dxa"/>
            <w:noWrap w:val="0"/>
            <w:vAlign w:val="center"/>
          </w:tcPr>
          <w:p w14:paraId="71AB1E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抽查事项</w:t>
            </w:r>
          </w:p>
        </w:tc>
        <w:tc>
          <w:tcPr>
            <w:tcW w:w="1956" w:type="dxa"/>
            <w:noWrap w:val="0"/>
            <w:vAlign w:val="center"/>
          </w:tcPr>
          <w:p w14:paraId="69FE3D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组织实施</w:t>
            </w:r>
          </w:p>
          <w:p w14:paraId="08FB27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806" w:type="dxa"/>
            <w:noWrap w:val="0"/>
            <w:vAlign w:val="center"/>
          </w:tcPr>
          <w:p w14:paraId="01B443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市场主体数量</w:t>
            </w:r>
          </w:p>
        </w:tc>
        <w:tc>
          <w:tcPr>
            <w:tcW w:w="1276" w:type="dxa"/>
            <w:noWrap w:val="0"/>
            <w:vAlign w:val="center"/>
          </w:tcPr>
          <w:p w14:paraId="0FE38C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抽取检查对象数量（户）</w:t>
            </w:r>
          </w:p>
        </w:tc>
        <w:tc>
          <w:tcPr>
            <w:tcW w:w="1843" w:type="dxa"/>
            <w:noWrap w:val="0"/>
            <w:vAlign w:val="center"/>
          </w:tcPr>
          <w:p w14:paraId="09543E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抽取检查对象数量占监管对象总数百分比</w:t>
            </w:r>
          </w:p>
        </w:tc>
        <w:tc>
          <w:tcPr>
            <w:tcW w:w="1192" w:type="dxa"/>
            <w:noWrap w:val="0"/>
            <w:vAlign w:val="center"/>
          </w:tcPr>
          <w:p w14:paraId="0B586D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抽取检查人员数量（人）</w:t>
            </w:r>
          </w:p>
        </w:tc>
        <w:tc>
          <w:tcPr>
            <w:tcW w:w="1501" w:type="dxa"/>
            <w:noWrap w:val="0"/>
            <w:vAlign w:val="center"/>
          </w:tcPr>
          <w:p w14:paraId="2B258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是否需要联合其他单位</w:t>
            </w:r>
          </w:p>
        </w:tc>
        <w:tc>
          <w:tcPr>
            <w:tcW w:w="883" w:type="dxa"/>
            <w:noWrap w:val="0"/>
            <w:vAlign w:val="center"/>
          </w:tcPr>
          <w:p w14:paraId="597A9B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计划类型</w:t>
            </w:r>
          </w:p>
        </w:tc>
      </w:tr>
      <w:tr w14:paraId="4121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6" w:hRule="atLeast"/>
        </w:trPr>
        <w:tc>
          <w:tcPr>
            <w:tcW w:w="675" w:type="dxa"/>
            <w:noWrap w:val="0"/>
            <w:vAlign w:val="center"/>
          </w:tcPr>
          <w:p w14:paraId="5BE338A2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212" w:type="dxa"/>
            <w:noWrap w:val="0"/>
            <w:vAlign w:val="center"/>
          </w:tcPr>
          <w:p w14:paraId="211E45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双随机一公开抽查计划</w:t>
            </w:r>
          </w:p>
        </w:tc>
        <w:tc>
          <w:tcPr>
            <w:tcW w:w="1830" w:type="dxa"/>
            <w:noWrap w:val="0"/>
            <w:vAlign w:val="center"/>
          </w:tcPr>
          <w:p w14:paraId="0518F5C6"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随机从《双随机抽查事项清单》中抽取所列检查事项</w:t>
            </w:r>
          </w:p>
        </w:tc>
        <w:tc>
          <w:tcPr>
            <w:tcW w:w="1956" w:type="dxa"/>
            <w:noWrap w:val="0"/>
            <w:vAlign w:val="center"/>
          </w:tcPr>
          <w:p w14:paraId="069284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2月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3610F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C99DC5E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 w14:paraId="05C071E5"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 w14:paraId="2A5F1A9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30%</w:t>
            </w:r>
          </w:p>
        </w:tc>
        <w:tc>
          <w:tcPr>
            <w:tcW w:w="1192" w:type="dxa"/>
            <w:noWrap w:val="0"/>
            <w:vAlign w:val="center"/>
          </w:tcPr>
          <w:p w14:paraId="0E555273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 w14:paraId="75F0C40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  <w:tc>
          <w:tcPr>
            <w:tcW w:w="883" w:type="dxa"/>
            <w:noWrap w:val="0"/>
            <w:vAlign w:val="center"/>
          </w:tcPr>
          <w:p w14:paraId="4170B4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年度计划</w:t>
            </w:r>
          </w:p>
          <w:p w14:paraId="653678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0A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6673" w:type="dxa"/>
            <w:gridSpan w:val="4"/>
            <w:noWrap w:val="0"/>
            <w:vAlign w:val="center"/>
          </w:tcPr>
          <w:p w14:paraId="5DE400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806" w:type="dxa"/>
            <w:noWrap w:val="0"/>
            <w:vAlign w:val="center"/>
          </w:tcPr>
          <w:p w14:paraId="492872D9"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 w14:paraId="11AC5FBF"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 w14:paraId="368816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30%</w:t>
            </w:r>
          </w:p>
        </w:tc>
        <w:tc>
          <w:tcPr>
            <w:tcW w:w="1192" w:type="dxa"/>
            <w:noWrap w:val="0"/>
            <w:vAlign w:val="center"/>
          </w:tcPr>
          <w:p w14:paraId="6FEF73B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 w14:paraId="2F6667C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  <w:tc>
          <w:tcPr>
            <w:tcW w:w="883" w:type="dxa"/>
            <w:noWrap w:val="0"/>
            <w:vAlign w:val="center"/>
          </w:tcPr>
          <w:p w14:paraId="1F193C8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年度计划</w:t>
            </w:r>
          </w:p>
          <w:p w14:paraId="5EB1D7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54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</w:trPr>
        <w:tc>
          <w:tcPr>
            <w:tcW w:w="675" w:type="dxa"/>
            <w:noWrap w:val="0"/>
            <w:vAlign w:val="center"/>
          </w:tcPr>
          <w:p w14:paraId="636FEB61">
            <w:pPr>
              <w:jc w:val="center"/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/>
                <w:b w:val="0"/>
                <w:bCs w:val="0"/>
                <w:sz w:val="24"/>
              </w:rPr>
              <w:t>备注</w:t>
            </w:r>
          </w:p>
        </w:tc>
        <w:tc>
          <w:tcPr>
            <w:tcW w:w="13499" w:type="dxa"/>
            <w:gridSpan w:val="9"/>
            <w:noWrap w:val="0"/>
            <w:vAlign w:val="center"/>
          </w:tcPr>
          <w:p w14:paraId="1F6D0B17">
            <w:pPr>
              <w:rPr>
                <w:rFonts w:hint="eastAsia" w:asci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年计划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抽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查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户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一般工贸企业中的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30%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。</w:t>
            </w:r>
          </w:p>
        </w:tc>
      </w:tr>
    </w:tbl>
    <w:p w14:paraId="20A5AB4E"/>
    <w:p w14:paraId="66FDDF0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4B392">
    <w:pPr>
      <w:pStyle w:val="3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15272A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C4B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6624E"/>
    <w:multiLevelType w:val="singleLevel"/>
    <w:tmpl w:val="6016624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OGQzZWJjNzU1Zjk1ZjFjNDEzZTRjNTdkMjUxMjcifQ=="/>
  </w:docVars>
  <w:rsids>
    <w:rsidRoot w:val="33FF5271"/>
    <w:rsid w:val="00245764"/>
    <w:rsid w:val="00D04528"/>
    <w:rsid w:val="00D55E6C"/>
    <w:rsid w:val="01045BB5"/>
    <w:rsid w:val="01052A5E"/>
    <w:rsid w:val="01530024"/>
    <w:rsid w:val="017716F4"/>
    <w:rsid w:val="01CC3898"/>
    <w:rsid w:val="021B4775"/>
    <w:rsid w:val="027345B1"/>
    <w:rsid w:val="027C16B8"/>
    <w:rsid w:val="02B8660C"/>
    <w:rsid w:val="030E6C3D"/>
    <w:rsid w:val="03571FF7"/>
    <w:rsid w:val="03A964DC"/>
    <w:rsid w:val="041F054D"/>
    <w:rsid w:val="043164D2"/>
    <w:rsid w:val="043B0914"/>
    <w:rsid w:val="044153FB"/>
    <w:rsid w:val="0473605D"/>
    <w:rsid w:val="04B20751"/>
    <w:rsid w:val="051F7BE0"/>
    <w:rsid w:val="05252D87"/>
    <w:rsid w:val="066308E2"/>
    <w:rsid w:val="06A04C33"/>
    <w:rsid w:val="070C2224"/>
    <w:rsid w:val="074E7D0A"/>
    <w:rsid w:val="075E7FA4"/>
    <w:rsid w:val="082A46E6"/>
    <w:rsid w:val="083D71F3"/>
    <w:rsid w:val="09B502AE"/>
    <w:rsid w:val="0A7113D6"/>
    <w:rsid w:val="0A815EC3"/>
    <w:rsid w:val="0B3154E0"/>
    <w:rsid w:val="0C111AD9"/>
    <w:rsid w:val="0D4241A8"/>
    <w:rsid w:val="0D6662D3"/>
    <w:rsid w:val="0D8E229F"/>
    <w:rsid w:val="0D8F1A4E"/>
    <w:rsid w:val="0E0E108A"/>
    <w:rsid w:val="0E456E02"/>
    <w:rsid w:val="0F3944FE"/>
    <w:rsid w:val="10552896"/>
    <w:rsid w:val="10C02CE5"/>
    <w:rsid w:val="10D7328C"/>
    <w:rsid w:val="11042EEF"/>
    <w:rsid w:val="11194576"/>
    <w:rsid w:val="1179579B"/>
    <w:rsid w:val="118C5756"/>
    <w:rsid w:val="12940D55"/>
    <w:rsid w:val="12BE53D5"/>
    <w:rsid w:val="12CF6473"/>
    <w:rsid w:val="131D53A3"/>
    <w:rsid w:val="13345698"/>
    <w:rsid w:val="133B6A25"/>
    <w:rsid w:val="14D37B9E"/>
    <w:rsid w:val="154170B6"/>
    <w:rsid w:val="15AE1730"/>
    <w:rsid w:val="177046F6"/>
    <w:rsid w:val="17DC1F43"/>
    <w:rsid w:val="1881126B"/>
    <w:rsid w:val="189C0700"/>
    <w:rsid w:val="18CC73BC"/>
    <w:rsid w:val="19314B62"/>
    <w:rsid w:val="193321B6"/>
    <w:rsid w:val="1B1C6A25"/>
    <w:rsid w:val="1B1D0E97"/>
    <w:rsid w:val="1B9B2A22"/>
    <w:rsid w:val="1BD11C33"/>
    <w:rsid w:val="1BE83DD7"/>
    <w:rsid w:val="1C03680B"/>
    <w:rsid w:val="1C243C3B"/>
    <w:rsid w:val="1C640D9B"/>
    <w:rsid w:val="1C7752F3"/>
    <w:rsid w:val="1CEF0359"/>
    <w:rsid w:val="1CF50255"/>
    <w:rsid w:val="1D1D0FA8"/>
    <w:rsid w:val="1D5923A0"/>
    <w:rsid w:val="1D773464"/>
    <w:rsid w:val="1D835D76"/>
    <w:rsid w:val="1DC32613"/>
    <w:rsid w:val="1DF11C2D"/>
    <w:rsid w:val="1EC7098C"/>
    <w:rsid w:val="213C0AC6"/>
    <w:rsid w:val="213D0149"/>
    <w:rsid w:val="21A8797C"/>
    <w:rsid w:val="221F520B"/>
    <w:rsid w:val="23041092"/>
    <w:rsid w:val="23C06A12"/>
    <w:rsid w:val="24567F54"/>
    <w:rsid w:val="24855D52"/>
    <w:rsid w:val="253D03DB"/>
    <w:rsid w:val="26984D3E"/>
    <w:rsid w:val="26B25CCB"/>
    <w:rsid w:val="26F800A2"/>
    <w:rsid w:val="27706BF2"/>
    <w:rsid w:val="27B03AA5"/>
    <w:rsid w:val="286610A6"/>
    <w:rsid w:val="291256ED"/>
    <w:rsid w:val="291F125C"/>
    <w:rsid w:val="29312005"/>
    <w:rsid w:val="2BC03B14"/>
    <w:rsid w:val="2CA556AD"/>
    <w:rsid w:val="2CB92B5E"/>
    <w:rsid w:val="2D984D48"/>
    <w:rsid w:val="2EE62680"/>
    <w:rsid w:val="2FE443F5"/>
    <w:rsid w:val="30454C38"/>
    <w:rsid w:val="30704C15"/>
    <w:rsid w:val="3094583F"/>
    <w:rsid w:val="30A6152A"/>
    <w:rsid w:val="30A70901"/>
    <w:rsid w:val="30AA463A"/>
    <w:rsid w:val="312D42FE"/>
    <w:rsid w:val="315D7742"/>
    <w:rsid w:val="32936105"/>
    <w:rsid w:val="3303652C"/>
    <w:rsid w:val="33246EBE"/>
    <w:rsid w:val="332E597D"/>
    <w:rsid w:val="33FF5271"/>
    <w:rsid w:val="34F0740D"/>
    <w:rsid w:val="35036D30"/>
    <w:rsid w:val="350502A9"/>
    <w:rsid w:val="356926D5"/>
    <w:rsid w:val="357850C8"/>
    <w:rsid w:val="35915BC6"/>
    <w:rsid w:val="360F7FE0"/>
    <w:rsid w:val="36C82C47"/>
    <w:rsid w:val="37113475"/>
    <w:rsid w:val="37B704C1"/>
    <w:rsid w:val="38797524"/>
    <w:rsid w:val="38CE513F"/>
    <w:rsid w:val="39037B98"/>
    <w:rsid w:val="3954669D"/>
    <w:rsid w:val="396446BF"/>
    <w:rsid w:val="39D53712"/>
    <w:rsid w:val="3A394391"/>
    <w:rsid w:val="3A7A7584"/>
    <w:rsid w:val="3AC15489"/>
    <w:rsid w:val="3B7F30A4"/>
    <w:rsid w:val="3BAF6F02"/>
    <w:rsid w:val="3CD704DD"/>
    <w:rsid w:val="3DED69EA"/>
    <w:rsid w:val="3E6E11AD"/>
    <w:rsid w:val="3E894239"/>
    <w:rsid w:val="3E937362"/>
    <w:rsid w:val="3F637029"/>
    <w:rsid w:val="3FC733A8"/>
    <w:rsid w:val="408379EF"/>
    <w:rsid w:val="408908EE"/>
    <w:rsid w:val="41031E02"/>
    <w:rsid w:val="413D7498"/>
    <w:rsid w:val="41535DB8"/>
    <w:rsid w:val="41764F49"/>
    <w:rsid w:val="41AF0084"/>
    <w:rsid w:val="41BA6A61"/>
    <w:rsid w:val="41FD6251"/>
    <w:rsid w:val="427A7A29"/>
    <w:rsid w:val="42890CAC"/>
    <w:rsid w:val="42955CED"/>
    <w:rsid w:val="433517D1"/>
    <w:rsid w:val="43616E7D"/>
    <w:rsid w:val="44EF1E27"/>
    <w:rsid w:val="45223261"/>
    <w:rsid w:val="45BD49BC"/>
    <w:rsid w:val="46595606"/>
    <w:rsid w:val="46A460D2"/>
    <w:rsid w:val="47754EFB"/>
    <w:rsid w:val="48064CD8"/>
    <w:rsid w:val="481C0CDA"/>
    <w:rsid w:val="4896798C"/>
    <w:rsid w:val="48B479B2"/>
    <w:rsid w:val="48D43C2F"/>
    <w:rsid w:val="48DB38E3"/>
    <w:rsid w:val="4922138C"/>
    <w:rsid w:val="4A1F4379"/>
    <w:rsid w:val="4A617030"/>
    <w:rsid w:val="4A8401CF"/>
    <w:rsid w:val="4AFA0FC5"/>
    <w:rsid w:val="4B5F55B3"/>
    <w:rsid w:val="4B95246F"/>
    <w:rsid w:val="4C656166"/>
    <w:rsid w:val="4C73622A"/>
    <w:rsid w:val="4CAA019C"/>
    <w:rsid w:val="4CAF7561"/>
    <w:rsid w:val="4D0E7126"/>
    <w:rsid w:val="4D311027"/>
    <w:rsid w:val="4D81669B"/>
    <w:rsid w:val="4D881E5D"/>
    <w:rsid w:val="4E835590"/>
    <w:rsid w:val="4F6463E1"/>
    <w:rsid w:val="4FB235F0"/>
    <w:rsid w:val="501A2F43"/>
    <w:rsid w:val="50E84DEF"/>
    <w:rsid w:val="513D15DF"/>
    <w:rsid w:val="51924340"/>
    <w:rsid w:val="51D66CF6"/>
    <w:rsid w:val="51F7568B"/>
    <w:rsid w:val="52084F42"/>
    <w:rsid w:val="52C75604"/>
    <w:rsid w:val="536D782E"/>
    <w:rsid w:val="53866C9D"/>
    <w:rsid w:val="53BC17B3"/>
    <w:rsid w:val="53EE3E9F"/>
    <w:rsid w:val="544416AE"/>
    <w:rsid w:val="55F84B33"/>
    <w:rsid w:val="56362DB6"/>
    <w:rsid w:val="565261F0"/>
    <w:rsid w:val="569A7BCA"/>
    <w:rsid w:val="5714693E"/>
    <w:rsid w:val="57395F0A"/>
    <w:rsid w:val="578515EA"/>
    <w:rsid w:val="587F332E"/>
    <w:rsid w:val="58DD395C"/>
    <w:rsid w:val="58E16CF4"/>
    <w:rsid w:val="59954C07"/>
    <w:rsid w:val="59AD4E28"/>
    <w:rsid w:val="59EC76FE"/>
    <w:rsid w:val="5AD43203"/>
    <w:rsid w:val="5B33135D"/>
    <w:rsid w:val="5B8A33C1"/>
    <w:rsid w:val="5BD12343"/>
    <w:rsid w:val="5C66235D"/>
    <w:rsid w:val="5C8F0B89"/>
    <w:rsid w:val="5D5201C0"/>
    <w:rsid w:val="5EC81B99"/>
    <w:rsid w:val="5F184590"/>
    <w:rsid w:val="5F7F5239"/>
    <w:rsid w:val="602D6CC3"/>
    <w:rsid w:val="603F0CC5"/>
    <w:rsid w:val="609F22FB"/>
    <w:rsid w:val="612260FC"/>
    <w:rsid w:val="61A46B11"/>
    <w:rsid w:val="61E16FA2"/>
    <w:rsid w:val="62C060C3"/>
    <w:rsid w:val="62E328C2"/>
    <w:rsid w:val="63172019"/>
    <w:rsid w:val="635465A5"/>
    <w:rsid w:val="63956484"/>
    <w:rsid w:val="6421269A"/>
    <w:rsid w:val="65135B60"/>
    <w:rsid w:val="6587569D"/>
    <w:rsid w:val="65C76B90"/>
    <w:rsid w:val="669F368B"/>
    <w:rsid w:val="66CB0734"/>
    <w:rsid w:val="6843049F"/>
    <w:rsid w:val="685E3D08"/>
    <w:rsid w:val="68613F4D"/>
    <w:rsid w:val="68A815DC"/>
    <w:rsid w:val="68DF6B1A"/>
    <w:rsid w:val="6A333F49"/>
    <w:rsid w:val="6AE14931"/>
    <w:rsid w:val="6C400C53"/>
    <w:rsid w:val="6C5532C3"/>
    <w:rsid w:val="6E632386"/>
    <w:rsid w:val="6EBC053F"/>
    <w:rsid w:val="6FC97E45"/>
    <w:rsid w:val="7081069C"/>
    <w:rsid w:val="70C91FD2"/>
    <w:rsid w:val="70FD13AF"/>
    <w:rsid w:val="72430486"/>
    <w:rsid w:val="72D679F5"/>
    <w:rsid w:val="72D95573"/>
    <w:rsid w:val="732E427C"/>
    <w:rsid w:val="74450ED1"/>
    <w:rsid w:val="744C3764"/>
    <w:rsid w:val="752F2073"/>
    <w:rsid w:val="753C5586"/>
    <w:rsid w:val="75EB2B08"/>
    <w:rsid w:val="763149BF"/>
    <w:rsid w:val="76A154AD"/>
    <w:rsid w:val="76C21ABB"/>
    <w:rsid w:val="77C21AF7"/>
    <w:rsid w:val="788624A5"/>
    <w:rsid w:val="78EC797D"/>
    <w:rsid w:val="790473A4"/>
    <w:rsid w:val="791F46CA"/>
    <w:rsid w:val="79336A02"/>
    <w:rsid w:val="79921083"/>
    <w:rsid w:val="7A860D20"/>
    <w:rsid w:val="7BB035FB"/>
    <w:rsid w:val="7BE218B5"/>
    <w:rsid w:val="7CA53A11"/>
    <w:rsid w:val="7D254B52"/>
    <w:rsid w:val="7D382D28"/>
    <w:rsid w:val="7DDD542C"/>
    <w:rsid w:val="7E0B01EB"/>
    <w:rsid w:val="7E156974"/>
    <w:rsid w:val="7EB814F1"/>
    <w:rsid w:val="7FAF5100"/>
    <w:rsid w:val="7FB87E29"/>
    <w:rsid w:val="7FBB6EFF"/>
    <w:rsid w:val="7FC66CD0"/>
    <w:rsid w:val="7FDD1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unhideWhenUsed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uiPriority w:val="99"/>
    <w:pPr>
      <w:shd w:val="clear" w:color="auto" w:fill="00008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">
    <w:name w:val="Char Char Char Char Char Char Char"/>
    <w:basedOn w:val="2"/>
    <w:link w:val="7"/>
    <w:uiPriority w:val="0"/>
  </w:style>
  <w:style w:type="character" w:styleId="9">
    <w:name w:val="page number"/>
    <w:basedOn w:val="7"/>
    <w:unhideWhenUsed/>
    <w:uiPriority w:val="99"/>
  </w:style>
  <w:style w:type="paragraph" w:customStyle="1" w:styleId="10">
    <w:name w:val="BodyText1I2"/>
    <w:basedOn w:val="11"/>
    <w:next w:val="1"/>
    <w:qFormat/>
    <w:uiPriority w:val="0"/>
    <w:pPr>
      <w:widowControl/>
      <w:spacing w:after="0"/>
      <w:ind w:left="200" w:leftChars="200"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11">
    <w:name w:val="BodyTextIndent"/>
    <w:basedOn w:val="1"/>
    <w:next w:val="12"/>
    <w:qFormat/>
    <w:uiPriority w:val="0"/>
    <w:pPr>
      <w:widowControl/>
      <w:spacing w:after="120"/>
      <w:ind w:left="20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">
    <w:name w:val="NormalIndent"/>
    <w:basedOn w:val="1"/>
    <w:next w:val="13"/>
    <w:qFormat/>
    <w:uiPriority w:val="0"/>
    <w:pPr>
      <w:widowControl/>
      <w:ind w:firstLine="200" w:firstLineChars="200"/>
      <w:jc w:val="both"/>
      <w:textAlignment w:val="baseline"/>
    </w:pPr>
  </w:style>
  <w:style w:type="paragraph" w:customStyle="1" w:styleId="13">
    <w:name w:val="TOC2"/>
    <w:basedOn w:val="1"/>
    <w:next w:val="1"/>
    <w:qFormat/>
    <w:uiPriority w:val="0"/>
    <w:pPr>
      <w:widowControl/>
      <w:ind w:left="420" w:leftChars="200"/>
      <w:jc w:val="both"/>
      <w:textAlignment w:val="baseline"/>
    </w:pPr>
  </w:style>
  <w:style w:type="character" w:customStyle="1" w:styleId="14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5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16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10</Pages>
  <Words>3656</Words>
  <Characters>3815</Characters>
  <Lines>1</Lines>
  <Paragraphs>1</Paragraphs>
  <TotalTime>158</TotalTime>
  <ScaleCrop>false</ScaleCrop>
  <LinksUpToDate>false</LinksUpToDate>
  <CharactersWithSpaces>3843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2021-01-31T07:04:00Z</dcterms:created>
  <dc:creator>hp</dc:creator>
  <cp:lastModifiedBy>狗又汤就是狗又炖成的汤</cp:lastModifiedBy>
  <cp:lastPrinted>2024-12-05T06:53:25Z</cp:lastPrinted>
  <dcterms:modified xsi:type="dcterms:W3CDTF">2024-12-06T01:59:40Z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F8651229333148429305C086659FC016_13</vt:lpwstr>
  </property>
</Properties>
</file>