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eastAsia="宋体" w:cs="宋体"/>
          <w:b w:val="0"/>
          <w:bCs w:val="0"/>
          <w:color w:val="auto"/>
          <w:sz w:val="28"/>
          <w:szCs w:val="28"/>
          <w:lang w:val="en-US" w:eastAsia="zh-CN"/>
        </w:rPr>
      </w:pPr>
    </w:p>
    <w:p>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宋体" w:hAnsi="宋体" w:eastAsia="宋体" w:cs="宋体"/>
          <w:b/>
          <w:bCs/>
          <w:sz w:val="20"/>
        </w:rPr>
        <w:pict>
          <v:shape id="_x0000_s1026" o:spid="_x0000_s1026" o:spt="136" type="#_x0000_t136" style="position:absolute;left:0pt;margin-left:0.3pt;margin-top:23.55pt;height:65.05pt;width:418.5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靖宇县那尔轰镇人民政府&#10;" style="font-family:宋体;font-size:48pt;v-rotate-letters:f;v-same-letter-heights:f;v-text-align:center;v-text-spacing:85197f;"/>
          </v:shape>
        </w:pict>
      </w:r>
    </w:p>
    <w:p>
      <w:pPr>
        <w:numPr>
          <w:ilvl w:val="0"/>
          <w:numId w:val="0"/>
        </w:numPr>
        <w:jc w:val="center"/>
        <w:rPr>
          <w:rFonts w:hint="eastAsia" w:asciiTheme="majorEastAsia" w:hAnsiTheme="majorEastAsia" w:eastAsiaTheme="majorEastAsia" w:cstheme="majorEastAsia"/>
          <w:b/>
          <w:bCs/>
          <w:color w:val="auto"/>
          <w:sz w:val="44"/>
          <w:szCs w:val="44"/>
          <w:lang w:val="en-US" w:eastAsia="zh-CN"/>
        </w:rPr>
      </w:pPr>
    </w:p>
    <w:p>
      <w:pPr>
        <w:numPr>
          <w:ilvl w:val="0"/>
          <w:numId w:val="0"/>
        </w:numPr>
        <w:jc w:val="center"/>
        <w:rPr>
          <w:rFonts w:hint="eastAsia" w:asciiTheme="majorEastAsia" w:hAnsiTheme="majorEastAsia" w:eastAsiaTheme="majorEastAsia" w:cstheme="majorEastAsia"/>
          <w:b/>
          <w:bCs/>
          <w:color w:val="auto"/>
          <w:sz w:val="44"/>
          <w:szCs w:val="44"/>
          <w:lang w:val="en-US" w:eastAsia="zh-CN"/>
        </w:rPr>
      </w:pPr>
    </w:p>
    <w:p>
      <w:pPr>
        <w:pStyle w:val="2"/>
        <w:rPr>
          <w:rFonts w:hint="eastAsia"/>
          <w:lang w:val="en-US" w:eastAsia="zh-CN"/>
        </w:rPr>
      </w:pPr>
      <w:r>
        <w:rPr>
          <w:sz w:val="36"/>
        </w:rPr>
        <mc:AlternateContent>
          <mc:Choice Requires="wps">
            <w:drawing>
              <wp:anchor distT="0" distB="0" distL="114300" distR="114300" simplePos="0" relativeHeight="251661312" behindDoc="0" locked="0" layoutInCell="1" allowOverlap="1">
                <wp:simplePos x="0" y="0"/>
                <wp:positionH relativeFrom="column">
                  <wp:posOffset>-310515</wp:posOffset>
                </wp:positionH>
                <wp:positionV relativeFrom="paragraph">
                  <wp:posOffset>210820</wp:posOffset>
                </wp:positionV>
                <wp:extent cx="5991225" cy="0"/>
                <wp:effectExtent l="0" t="13970" r="9525" b="24130"/>
                <wp:wrapNone/>
                <wp:docPr id="2" name="直接连接符 2"/>
                <wp:cNvGraphicFramePr/>
                <a:graphic xmlns:a="http://schemas.openxmlformats.org/drawingml/2006/main">
                  <a:graphicData uri="http://schemas.microsoft.com/office/word/2010/wordprocessingShape">
                    <wps:wsp>
                      <wps:cNvCnPr/>
                      <wps:spPr>
                        <a:xfrm>
                          <a:off x="1223010" y="2449195"/>
                          <a:ext cx="5991225" cy="0"/>
                        </a:xfrm>
                        <a:prstGeom prst="line">
                          <a:avLst/>
                        </a:prstGeom>
                        <a:ln w="28575" cmpd="sng">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24.45pt;margin-top:16.6pt;height:0pt;width:471.75pt;z-index:251661312;mso-width-relative:page;mso-height-relative:page;" filled="f" stroked="t" coordsize="21600,21600" o:gfxdata="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mM9g2gAAAAkBAAAPAAAAAAAA&#10;AAEAIAAAACIAAABkcnMvZG93bnJldi54bWxQSwECFAAUAAAACACHTuJA5YT9B9cBAABwAwAADgAA&#10;AAAAAAABACAAAAApAQAAZHJzL2Uyb0RvYy54bWxQSwUGAAAAAAYABgBZAQAAcgUAAAAA&#10;">
                <v:fill on="f" focussize="0,0"/>
                <v:stroke weight="2.25pt" color="#FF0000 [3205]" miterlimit="8" joinstyle="miter"/>
                <v:imagedata o:title=""/>
                <o:lock v:ext="edit" aspectratio="f"/>
              </v:line>
            </w:pict>
          </mc:Fallback>
        </mc:AlternateContent>
      </w:r>
    </w:p>
    <w:p>
      <w:pPr>
        <w:numPr>
          <w:ilvl w:val="0"/>
          <w:numId w:val="0"/>
        </w:numPr>
        <w:jc w:val="center"/>
        <w:rPr>
          <w:rFonts w:hint="eastAsia" w:asciiTheme="majorEastAsia" w:hAnsiTheme="majorEastAsia" w:eastAsiaTheme="majorEastAsia" w:cstheme="majorEastAsia"/>
          <w:b/>
          <w:bCs/>
          <w:color w:val="auto"/>
          <w:sz w:val="44"/>
          <w:szCs w:val="44"/>
          <w:lang w:val="en-US" w:eastAsia="zh-CN"/>
        </w:rPr>
      </w:pPr>
    </w:p>
    <w:p>
      <w:pPr>
        <w:pStyle w:val="2"/>
        <w:rPr>
          <w:rFonts w:hint="eastAsia"/>
          <w:lang w:val="en-US" w:eastAsia="zh-CN"/>
        </w:rPr>
      </w:pPr>
    </w:p>
    <w:p>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靖宇县那尔轰镇人民政府2023年度衔接及整合资金使用情况绩效自评总结</w:t>
      </w:r>
    </w:p>
    <w:p>
      <w:pPr>
        <w:pStyle w:val="2"/>
        <w:rPr>
          <w:rFonts w:hint="eastAsia"/>
          <w:lang w:val="en-US" w:eastAsia="zh-CN"/>
        </w:rPr>
      </w:pPr>
    </w:p>
    <w:p>
      <w:pPr>
        <w:pStyle w:val="1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县财政局：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b w:val="0"/>
          <w:bCs w:val="0"/>
          <w:color w:val="auto"/>
          <w:sz w:val="32"/>
          <w:szCs w:val="32"/>
          <w:lang w:val="en-US" w:eastAsia="zh-CN"/>
        </w:rPr>
        <w:t>印发</w:t>
      </w:r>
      <w:r>
        <w:rPr>
          <w:rFonts w:hint="eastAsia" w:ascii="仿宋_GB2312" w:hAnsi="仿宋_GB2312" w:eastAsia="仿宋_GB2312" w:cs="仿宋_GB2312"/>
          <w:sz w:val="32"/>
          <w:szCs w:val="32"/>
          <w:lang w:eastAsia="zh-CN"/>
        </w:rPr>
        <w:t>《关于对202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年度衔接及整合资金使用情况开展绩效自评总结工作的通知》（</w:t>
      </w:r>
      <w:r>
        <w:rPr>
          <w:rFonts w:hint="eastAsia" w:ascii="仿宋_GB2312" w:hAnsi="仿宋_GB2312" w:eastAsia="仿宋_GB2312" w:cs="仿宋_GB2312"/>
          <w:sz w:val="32"/>
          <w:szCs w:val="32"/>
          <w:lang w:val="en-US" w:eastAsia="zh-CN"/>
        </w:rPr>
        <w:t>靖财农</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603</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要求，现将</w:t>
      </w:r>
      <w:r>
        <w:rPr>
          <w:rFonts w:hint="eastAsia" w:ascii="仿宋_GB2312" w:hAnsi="仿宋_GB2312" w:eastAsia="仿宋_GB2312" w:cs="仿宋_GB2312"/>
          <w:sz w:val="32"/>
          <w:szCs w:val="32"/>
          <w:lang w:val="en-US" w:eastAsia="zh-CN"/>
        </w:rPr>
        <w:t>靖宇县那尔轰镇人民政府2023年度</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lang w:val="en-US" w:eastAsia="zh-CN"/>
        </w:rPr>
        <w:t>及整合资金使用情况绩效自评总结</w:t>
      </w:r>
      <w:r>
        <w:rPr>
          <w:rFonts w:hint="eastAsia" w:ascii="仿宋_GB2312" w:hAnsi="仿宋_GB2312" w:eastAsia="仿宋_GB2312" w:cs="仿宋_GB2312"/>
          <w:sz w:val="32"/>
          <w:szCs w:val="32"/>
          <w:lang w:eastAsia="zh-CN"/>
        </w:rPr>
        <w:t>如下：</w:t>
      </w:r>
    </w:p>
    <w:p>
      <w:pPr>
        <w:numPr>
          <w:ilvl w:val="0"/>
          <w:numId w:val="1"/>
        </w:numPr>
        <w:ind w:left="64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b w:val="0"/>
          <w:bCs w:val="0"/>
          <w:color w:val="auto"/>
          <w:sz w:val="32"/>
          <w:szCs w:val="32"/>
          <w:lang w:val="en-US" w:eastAsia="zh-CN"/>
        </w:rPr>
        <w:t>项目资金基本情况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Style w:val="14"/>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按照县政府印发的</w:t>
      </w:r>
      <w:r>
        <w:rPr>
          <w:rFonts w:hint="eastAsia" w:ascii="仿宋_GB2312" w:hAnsi="仿宋_GB2312" w:eastAsia="仿宋_GB2312" w:cs="仿宋_GB2312"/>
          <w:sz w:val="32"/>
          <w:szCs w:val="32"/>
          <w:lang w:val="en-US" w:eastAsia="zh-CN"/>
        </w:rPr>
        <w:t>《靖宇县2023年财政涉农资金统筹整合使用方案》和县委农村工作领导小组项目资金批复文件以及县财政下达的资金文件，</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2023年我单位衔接及</w:t>
      </w:r>
      <w:r>
        <w:rPr>
          <w:rFonts w:hint="eastAsia" w:ascii="仿宋_GB2312" w:hAnsi="仿宋_GB2312" w:eastAsia="仿宋_GB2312" w:cs="仿宋_GB2312"/>
          <w:b w:val="0"/>
          <w:bCs w:val="0"/>
          <w:i w:val="0"/>
          <w:caps w:val="0"/>
          <w:color w:val="333333"/>
          <w:spacing w:val="0"/>
          <w:sz w:val="32"/>
          <w:szCs w:val="32"/>
          <w:shd w:val="clear" w:color="auto" w:fill="FFFFFF"/>
          <w:lang w:eastAsia="zh-CN"/>
        </w:rPr>
        <w:t>整合资金</w:t>
      </w:r>
      <w:r>
        <w:rPr>
          <w:rFonts w:hint="eastAsia" w:ascii="仿宋_GB2312" w:hAnsi="仿宋_GB2312" w:eastAsia="仿宋_GB2312" w:cs="仿宋_GB2312"/>
          <w:color w:val="auto"/>
          <w:sz w:val="32"/>
          <w:szCs w:val="32"/>
          <w:lang w:val="en-US" w:eastAsia="zh-CN"/>
        </w:rPr>
        <w:t>总计413.4万元（包括衔接资金49.5927万元），共安排项</w:t>
      </w:r>
      <w:r>
        <w:rPr>
          <w:rFonts w:hint="eastAsia" w:ascii="仿宋_GB2312" w:hAnsi="仿宋_GB2312" w:eastAsia="仿宋_GB2312" w:cs="仿宋_GB2312"/>
          <w:sz w:val="32"/>
          <w:szCs w:val="32"/>
        </w:rPr>
        <w:t>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color w:val="auto"/>
          <w:sz w:val="32"/>
          <w:szCs w:val="32"/>
        </w:rPr>
        <w:t>其中产业项目</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资金283.4万元；基础设施建设项目1个，资金100万元；其他项目2个，资金30万元。</w:t>
      </w:r>
    </w:p>
    <w:p>
      <w:pPr>
        <w:pStyle w:val="2"/>
        <w:rPr>
          <w:rFonts w:hint="eastAsia"/>
          <w:lang w:val="en-US" w:eastAsia="zh-CN"/>
        </w:rPr>
      </w:pPr>
    </w:p>
    <w:p>
      <w:pPr>
        <w:numPr>
          <w:ilvl w:val="0"/>
          <w:numId w:val="0"/>
        </w:numPr>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二、项目绩效管理情况</w:t>
      </w:r>
    </w:p>
    <w:p>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（一）绩效管理</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highlight w:val="none"/>
          <w:lang w:val="en-US" w:eastAsia="zh-CN"/>
        </w:rPr>
        <w:t>靖宇县统筹整合使用财政涉农资金管理办法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highlight w:val="none"/>
          <w:lang w:val="en-US" w:eastAsia="zh-CN"/>
        </w:rPr>
        <w:t>靖政发〔2021〕23号</w:t>
      </w:r>
      <w:r>
        <w:rPr>
          <w:rFonts w:hint="eastAsia" w:ascii="仿宋_GB2312" w:hAnsi="仿宋_GB2312" w:eastAsia="仿宋_GB2312" w:cs="仿宋_GB2312"/>
          <w:b w:val="0"/>
          <w:bCs w:val="0"/>
          <w:sz w:val="32"/>
          <w:szCs w:val="32"/>
          <w:lang w:val="en-US" w:eastAsia="zh-CN"/>
        </w:rPr>
        <w:t>）和《靖宇县财政衔接推进乡村振兴补助资金管理实施细则》（靖政办发〔2021〕50号）文件要求</w:t>
      </w:r>
      <w:r>
        <w:rPr>
          <w:rFonts w:hint="eastAsia" w:ascii="仿宋_GB2312" w:hAnsi="仿宋_GB2312" w:eastAsia="仿宋_GB2312" w:cs="仿宋_GB2312"/>
          <w:b w:val="0"/>
          <w:bCs w:val="0"/>
          <w:sz w:val="32"/>
          <w:szCs w:val="32"/>
          <w:lang w:eastAsia="zh-CN"/>
        </w:rPr>
        <w:t>，为加强</w:t>
      </w:r>
      <w:r>
        <w:rPr>
          <w:rFonts w:hint="eastAsia" w:ascii="仿宋_GB2312" w:hAnsi="仿宋_GB2312" w:eastAsia="仿宋_GB2312" w:cs="仿宋_GB2312"/>
          <w:b w:val="0"/>
          <w:bCs w:val="0"/>
          <w:sz w:val="32"/>
          <w:szCs w:val="32"/>
          <w:lang w:val="en-US" w:eastAsia="zh-CN"/>
        </w:rPr>
        <w:t>衔接及整合</w:t>
      </w:r>
      <w:r>
        <w:rPr>
          <w:rFonts w:hint="eastAsia" w:ascii="仿宋_GB2312" w:hAnsi="仿宋_GB2312" w:eastAsia="仿宋_GB2312" w:cs="仿宋_GB2312"/>
          <w:b w:val="0"/>
          <w:bCs w:val="0"/>
          <w:sz w:val="32"/>
          <w:szCs w:val="32"/>
          <w:lang w:eastAsia="zh-CN"/>
        </w:rPr>
        <w:t>资金</w:t>
      </w:r>
      <w:r>
        <w:rPr>
          <w:rFonts w:hint="eastAsia" w:ascii="仿宋_GB2312" w:hAnsi="仿宋_GB2312" w:eastAsia="仿宋_GB2312" w:cs="仿宋_GB2312"/>
          <w:b w:val="0"/>
          <w:bCs w:val="0"/>
          <w:sz w:val="32"/>
          <w:szCs w:val="32"/>
          <w:lang w:val="en-US" w:eastAsia="zh-CN"/>
        </w:rPr>
        <w:t>管理</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sz w:val="32"/>
          <w:szCs w:val="32"/>
          <w:lang w:val="en-US" w:eastAsia="zh-CN"/>
        </w:rPr>
        <w:t>我镇根据不同类型的项目分别设定了绩效目标，产业项目按品种设定，基础设施按照实际施工内容设定，分别设定了数量指标、质量指标、时效指标、社会效益指标、可持续影响指标、服务对象满意度指标。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color w:val="auto"/>
          <w:sz w:val="32"/>
          <w:szCs w:val="32"/>
          <w:lang w:val="en-US" w:eastAsia="zh-CN"/>
        </w:rPr>
        <w:t>县财政局和县乡村振兴服务中心指导下，我镇对每一个项目均填报了《绩效目标申报表》，</w:t>
      </w:r>
      <w:r>
        <w:rPr>
          <w:rFonts w:hint="eastAsia" w:ascii="仿宋_GB2312" w:hAnsi="仿宋_GB2312" w:eastAsia="仿宋_GB2312" w:cs="仿宋_GB2312"/>
          <w:sz w:val="32"/>
          <w:szCs w:val="32"/>
          <w:highlight w:val="none"/>
          <w:lang w:val="en-US" w:eastAsia="zh-CN"/>
        </w:rPr>
        <w:t>县财政局按照项目大类，分别下达了绩效目标批复文件，明确了目标任务。为完成好项目绩效目标，在项目实施过程中，</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由主管人员</w:t>
      </w:r>
      <w:r>
        <w:rPr>
          <w:rFonts w:hint="eastAsia" w:ascii="仿宋_GB2312" w:hAnsi="仿宋_GB2312" w:eastAsia="仿宋_GB2312" w:cs="仿宋_GB2312"/>
          <w:b w:val="0"/>
          <w:bCs w:val="0"/>
          <w:i w:val="0"/>
          <w:caps w:val="0"/>
          <w:color w:val="auto"/>
          <w:spacing w:val="0"/>
          <w:sz w:val="32"/>
          <w:szCs w:val="32"/>
          <w:shd w:val="clear" w:color="auto" w:fill="FFFFFF"/>
          <w:lang w:eastAsia="zh-CN"/>
        </w:rPr>
        <w:t>定期开展项目实施情况和资金支出进度跟踪</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问查，</w:t>
      </w:r>
      <w:r>
        <w:rPr>
          <w:rFonts w:hint="eastAsia" w:ascii="仿宋_GB2312" w:hAnsi="仿宋_GB2312" w:eastAsia="仿宋_GB2312" w:cs="仿宋_GB2312"/>
          <w:color w:val="000000"/>
          <w:spacing w:val="0"/>
          <w:w w:val="100"/>
          <w:position w:val="0"/>
          <w:sz w:val="32"/>
          <w:szCs w:val="32"/>
        </w:rPr>
        <w:t>全力推进项目建设，紧跟项目进度，加快资金</w:t>
      </w:r>
      <w:r>
        <w:rPr>
          <w:rFonts w:hint="eastAsia" w:ascii="仿宋_GB2312" w:hAnsi="仿宋_GB2312" w:eastAsia="仿宋_GB2312" w:cs="仿宋_GB2312"/>
          <w:color w:val="000000"/>
          <w:spacing w:val="0"/>
          <w:w w:val="100"/>
          <w:position w:val="0"/>
          <w:sz w:val="32"/>
          <w:szCs w:val="32"/>
          <w:lang w:val="en-US" w:eastAsia="zh-CN"/>
        </w:rPr>
        <w:t>支付进度</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项目建设过程中，</w:t>
      </w:r>
      <w:r>
        <w:rPr>
          <w:rFonts w:hint="eastAsia" w:ascii="仿宋_GB2312" w:hAnsi="仿宋_GB2312" w:eastAsia="仿宋_GB2312" w:cs="仿宋_GB2312"/>
          <w:sz w:val="32"/>
          <w:szCs w:val="32"/>
          <w:highlight w:val="none"/>
          <w:lang w:val="en-US" w:eastAsia="zh-CN"/>
        </w:rPr>
        <w:t>按照县财政局工作要求，填报了项目《绩效运行监控表》。</w:t>
      </w:r>
    </w:p>
    <w:p>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（二）公告公示情况</w:t>
      </w:r>
    </w:p>
    <w:p>
      <w:pPr>
        <w:numPr>
          <w:ilvl w:val="0"/>
          <w:numId w:val="0"/>
        </w:numPr>
        <w:ind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lang w:val="en-US" w:eastAsia="zh-CN"/>
        </w:rPr>
        <w:t>对于每一个项目，开工前都在所在村屯进行公告公示。项目竣工后，将竣工结算结果先行公示，无反馈问题后，再进行最终结算付款。</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在各类检查中没有收到全国12317防止返贫监测和乡村振兴咨询服务平台(简称12317平台)反馈问题。</w:t>
      </w:r>
    </w:p>
    <w:p>
      <w:pPr>
        <w:numPr>
          <w:ilvl w:val="0"/>
          <w:numId w:val="0"/>
        </w:num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三、目标完成情况分析</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rPr>
          <w:rFonts w:hint="eastAsia" w:ascii="楷体" w:hAnsi="楷体" w:eastAsia="楷体" w:cs="楷体"/>
          <w:b/>
          <w:bCs/>
          <w:color w:val="auto"/>
          <w:spacing w:val="0"/>
          <w:w w:val="100"/>
          <w:position w:val="0"/>
          <w:sz w:val="32"/>
          <w:szCs w:val="32"/>
          <w:highlight w:val="none"/>
          <w:u w:val="none"/>
          <w:lang w:val="en-US" w:eastAsia="zh-CN"/>
        </w:rPr>
      </w:pPr>
      <w:r>
        <w:rPr>
          <w:rFonts w:hint="eastAsia" w:ascii="楷体" w:hAnsi="楷体" w:eastAsia="楷体" w:cs="楷体"/>
          <w:b/>
          <w:bCs/>
          <w:color w:val="auto"/>
          <w:spacing w:val="0"/>
          <w:w w:val="100"/>
          <w:position w:val="0"/>
          <w:sz w:val="32"/>
          <w:szCs w:val="32"/>
          <w:highlight w:val="none"/>
          <w:u w:val="none"/>
          <w:lang w:val="en-US" w:eastAsia="zh-CN"/>
        </w:rPr>
        <w:t>（一）预算执行率</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仿宋_GB2312" w:hAnsi="仿宋_GB2312" w:eastAsia="仿宋_GB2312" w:cs="仿宋_GB2312"/>
          <w:color w:val="auto"/>
          <w:spacing w:val="0"/>
          <w:w w:val="100"/>
          <w:position w:val="0"/>
          <w:sz w:val="32"/>
          <w:szCs w:val="32"/>
          <w:highlight w:val="none"/>
          <w:lang w:val="en-US" w:eastAsia="zh-CN"/>
        </w:rPr>
      </w:pPr>
      <w:r>
        <w:rPr>
          <w:rFonts w:hint="eastAsia" w:ascii="仿宋_GB2312" w:hAnsi="仿宋_GB2312" w:eastAsia="仿宋_GB2312" w:cs="仿宋_GB2312"/>
          <w:color w:val="auto"/>
          <w:spacing w:val="0"/>
          <w:w w:val="100"/>
          <w:position w:val="0"/>
          <w:sz w:val="32"/>
          <w:szCs w:val="32"/>
          <w:highlight w:val="none"/>
          <w:lang w:val="en-US" w:eastAsia="zh-CN"/>
        </w:rPr>
        <w:t>2023年我单位衔接及整合资金资金合计</w:t>
      </w:r>
      <w:r>
        <w:rPr>
          <w:rFonts w:hint="eastAsia" w:ascii="仿宋_GB2312" w:hAnsi="仿宋_GB2312" w:eastAsia="仿宋_GB2312" w:cs="仿宋_GB2312"/>
          <w:color w:val="auto"/>
          <w:sz w:val="32"/>
          <w:szCs w:val="32"/>
          <w:lang w:val="en-US" w:eastAsia="zh-CN"/>
        </w:rPr>
        <w:t>413.4</w:t>
      </w:r>
      <w:r>
        <w:rPr>
          <w:rFonts w:hint="eastAsia" w:ascii="仿宋_GB2312" w:hAnsi="仿宋_GB2312" w:eastAsia="仿宋_GB2312" w:cs="仿宋_GB2312"/>
          <w:color w:val="auto"/>
          <w:spacing w:val="0"/>
          <w:w w:val="100"/>
          <w:position w:val="0"/>
          <w:sz w:val="32"/>
          <w:szCs w:val="32"/>
          <w:highlight w:val="none"/>
          <w:lang w:val="en-US" w:eastAsia="zh-CN"/>
        </w:rPr>
        <w:t>万元，截止2024年5月31日，实际支出完成87.59%。结转资金0万元。</w:t>
      </w:r>
    </w:p>
    <w:p>
      <w:pPr>
        <w:numPr>
          <w:ilvl w:val="0"/>
          <w:numId w:val="0"/>
        </w:numPr>
        <w:ind w:firstLine="643" w:firstLineChars="200"/>
        <w:jc w:val="left"/>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（二）分类资金使用效益</w:t>
      </w:r>
    </w:p>
    <w:p>
      <w:pPr>
        <w:numPr>
          <w:ilvl w:val="0"/>
          <w:numId w:val="0"/>
        </w:numPr>
        <w:ind w:firstLine="643" w:firstLineChars="200"/>
        <w:jc w:val="left"/>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1.产业项目。</w:t>
      </w:r>
      <w:r>
        <w:rPr>
          <w:rFonts w:hint="eastAsia" w:ascii="仿宋_GB2312" w:hAnsi="仿宋_GB2312" w:eastAsia="仿宋_GB2312" w:cs="仿宋_GB2312"/>
          <w:b w:val="0"/>
          <w:bCs w:val="0"/>
          <w:color w:val="auto"/>
          <w:kern w:val="2"/>
          <w:sz w:val="32"/>
          <w:szCs w:val="32"/>
          <w:lang w:val="en-US" w:eastAsia="zh-CN" w:bidi="ar-SA"/>
        </w:rPr>
        <w:t>“因户施策”项目申请资金108.4万元，“以奖代补”项目申请资金49.5927万元。为农户产业发展种养殖项目进行资金补贴，帮助有劳动能力的农户增收，实现稳定脱贫。为农户自行发展的农作物、经济作物、中药材、畜牧类等项目进行资金补贴，增加了产业发展收入。黄酒馆村冷库建设项目申请资金130万元。进一步完善经济作物产业链条，间接带动农户增收的同时也促进了村集体经济发展。</w:t>
      </w:r>
    </w:p>
    <w:p>
      <w:pPr>
        <w:numPr>
          <w:ilvl w:val="0"/>
          <w:numId w:val="0"/>
        </w:numPr>
        <w:ind w:firstLine="643" w:firstLineChars="200"/>
        <w:jc w:val="left"/>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2.基础设施建设项目。</w:t>
      </w:r>
      <w:r>
        <w:rPr>
          <w:rFonts w:hint="eastAsia" w:ascii="仿宋_GB2312" w:hAnsi="仿宋_GB2312" w:eastAsia="仿宋_GB2312" w:cs="仿宋_GB2312"/>
          <w:b w:val="0"/>
          <w:bCs w:val="0"/>
          <w:color w:val="auto"/>
          <w:kern w:val="2"/>
          <w:sz w:val="32"/>
          <w:szCs w:val="32"/>
          <w:lang w:val="en-US" w:eastAsia="zh-CN" w:bidi="ar-SA"/>
        </w:rPr>
        <w:t>黄酒馆村示范创建项目99.2万元，新建及维修防护性彩钢板围栏1375米;新建防护围墙 175 米;浆砌片石排水沟 749 米。项目建设成后达到示范村建设标准，改善人居环境，群众满意度高。</w:t>
      </w:r>
    </w:p>
    <w:p>
      <w:pPr>
        <w:numPr>
          <w:ilvl w:val="0"/>
          <w:numId w:val="0"/>
        </w:numPr>
        <w:ind w:firstLine="643" w:firstLineChars="200"/>
        <w:jc w:val="left"/>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3.其他项目。</w:t>
      </w:r>
      <w:r>
        <w:rPr>
          <w:rFonts w:hint="eastAsia" w:ascii="仿宋_GB2312" w:hAnsi="仿宋_GB2312" w:eastAsia="仿宋_GB2312" w:cs="仿宋_GB2312"/>
          <w:b w:val="0"/>
          <w:bCs w:val="0"/>
          <w:color w:val="auto"/>
          <w:kern w:val="2"/>
          <w:sz w:val="32"/>
          <w:szCs w:val="32"/>
          <w:lang w:val="en-US" w:eastAsia="zh-CN" w:bidi="ar-SA"/>
        </w:rPr>
        <w:t>“雨露计划”申请资金13.95万元，补助建档立卡学生93人次。引导脱贫家庭新成长劳动力提素质、学技能、稳就业、增收入，实现“一人长期就业，全家稳定脱贫”目标，完成那尔轰镇3个村黄酒馆村、北沟村、沿江村2021-2023年示范村村庄规划编制，示范村建设按照按照规划设计效果明显，编制费已完成拨付。</w:t>
      </w:r>
      <w:bookmarkStart w:id="0" w:name="_GoBack"/>
      <w:bookmarkEnd w:id="0"/>
    </w:p>
    <w:p>
      <w:pPr>
        <w:pStyle w:val="2"/>
        <w:numPr>
          <w:ilvl w:val="0"/>
          <w:numId w:val="0"/>
        </w:numPr>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偏离绩效目标的原因</w:t>
      </w:r>
    </w:p>
    <w:p>
      <w:pPr>
        <w:pStyle w:val="2"/>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“以奖代补”项目计划资金来源是年初农户申报，申请资金时是按农户实际种植面积计算，</w:t>
      </w:r>
      <w:r>
        <w:rPr>
          <w:rFonts w:hint="eastAsia" w:ascii="仿宋_GB2312" w:hAnsi="仿宋_GB2312" w:eastAsia="仿宋_GB2312" w:cs="仿宋_GB2312"/>
          <w:color w:val="auto"/>
          <w:sz w:val="32"/>
          <w:szCs w:val="32"/>
          <w:highlight w:val="none"/>
          <w:lang w:val="en-US" w:eastAsia="zh-CN"/>
        </w:rPr>
        <w:t>雨露计划是年初计划全年的</w:t>
      </w:r>
      <w:r>
        <w:rPr>
          <w:rFonts w:hint="eastAsia" w:ascii="仿宋_GB2312" w:hAnsi="仿宋_GB2312" w:eastAsia="仿宋_GB2312" w:cs="仿宋_GB2312"/>
          <w:color w:val="auto"/>
          <w:sz w:val="32"/>
          <w:szCs w:val="32"/>
          <w:highlight w:val="none"/>
          <w:lang w:eastAsia="zh-CN"/>
        </w:rPr>
        <w:t>。</w:t>
      </w:r>
    </w:p>
    <w:p>
      <w:pPr>
        <w:pStyle w:val="2"/>
        <w:numPr>
          <w:ilvl w:val="0"/>
          <w:numId w:val="2"/>
        </w:numPr>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整改措施</w:t>
      </w:r>
    </w:p>
    <w:p>
      <w:pPr>
        <w:pStyle w:val="2"/>
        <w:numPr>
          <w:ilvl w:val="0"/>
          <w:numId w:val="0"/>
        </w:num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加强项目谋划论证，做好项目前期工作，提升项目申报质量，规范项目实施管理。</w:t>
      </w:r>
    </w:p>
    <w:p>
      <w:pPr>
        <w:numPr>
          <w:ilvl w:val="0"/>
          <w:numId w:val="0"/>
        </w:numPr>
        <w:ind w:firstLine="640" w:firstLineChars="200"/>
        <w:jc w:val="left"/>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sz w:val="32"/>
          <w:szCs w:val="32"/>
          <w:lang w:val="en-US" w:eastAsia="zh-CN"/>
        </w:rPr>
        <w:t>六、</w:t>
      </w:r>
      <w:r>
        <w:rPr>
          <w:rFonts w:hint="eastAsia" w:ascii="黑体" w:hAnsi="黑体" w:eastAsia="黑体" w:cs="黑体"/>
          <w:color w:val="auto"/>
          <w:kern w:val="2"/>
          <w:sz w:val="32"/>
          <w:szCs w:val="32"/>
          <w:highlight w:val="none"/>
          <w:lang w:val="en-US" w:eastAsia="zh-CN" w:bidi="ar-SA"/>
        </w:rPr>
        <w:t>机制创新</w:t>
      </w:r>
    </w:p>
    <w:p>
      <w:pPr>
        <w:pStyle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衔接及整合资金项目管理方面，项目资金管理情况分析：项目资金由财政所派专人管理，做到了专款专用、专人管理。项目资金如有结余做退回财政处理，不挪做他用。资金执行情况：我镇严格按照省、市、县有关项目资金实施情况，能够按照项目进度及时拨付资金。</w:t>
      </w:r>
    </w:p>
    <w:p>
      <w:pPr>
        <w:pStyle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b/>
      </w:r>
      <w:r>
        <w:rPr>
          <w:rFonts w:hint="eastAsia" w:ascii="仿宋_GB2312" w:hAnsi="仿宋_GB2312" w:eastAsia="仿宋_GB2312" w:cs="仿宋_GB2312"/>
          <w:color w:val="auto"/>
          <w:kern w:val="2"/>
          <w:sz w:val="32"/>
          <w:szCs w:val="32"/>
          <w:lang w:val="en-US" w:eastAsia="zh-CN" w:bidi="ar-SA"/>
        </w:rPr>
        <w:t>在示范村创建方面，明确发展思路，对照“九有六无”查找不足，以人居环境整治为切入点，完善基础设施建设，以产业发展为中心，完善产业路修建，即方便村民生产，有将示范村打造成田园观光、产业兴旺的示范村。</w:t>
      </w:r>
    </w:p>
    <w:p>
      <w:pPr>
        <w:pStyle w:val="2"/>
        <w:rPr>
          <w:rFonts w:hint="eastAsia" w:ascii="仿宋_GB2312" w:hAnsi="仿宋_GB2312" w:eastAsia="仿宋_GB2312" w:cs="仿宋_GB2312"/>
          <w:color w:val="auto"/>
          <w:kern w:val="2"/>
          <w:sz w:val="32"/>
          <w:szCs w:val="32"/>
          <w:lang w:val="en-US" w:eastAsia="zh-CN" w:bidi="ar-SA"/>
        </w:rPr>
      </w:pPr>
    </w:p>
    <w:p>
      <w:pPr>
        <w:pStyle w:val="2"/>
        <w:jc w:val="righ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靖宇县那尔轰镇人民政府</w:t>
      </w:r>
    </w:p>
    <w:p>
      <w:pPr>
        <w:pStyle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2024年6月6日</w:t>
      </w:r>
    </w:p>
    <w:p>
      <w:pPr>
        <w:numPr>
          <w:ilvl w:val="0"/>
          <w:numId w:val="0"/>
        </w:numPr>
        <w:ind w:firstLine="640" w:firstLineChars="200"/>
        <w:jc w:val="left"/>
        <w:rPr>
          <w:rFonts w:hint="eastAsia" w:ascii="仿宋" w:hAnsi="仿宋" w:eastAsia="仿宋" w:cs="仿宋"/>
          <w:color w:val="auto"/>
          <w:kern w:val="2"/>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4ADB8"/>
    <w:multiLevelType w:val="singleLevel"/>
    <w:tmpl w:val="BF24ADB8"/>
    <w:lvl w:ilvl="0" w:tentative="0">
      <w:start w:val="1"/>
      <w:numFmt w:val="chineseCounting"/>
      <w:suff w:val="nothing"/>
      <w:lvlText w:val="%1、"/>
      <w:lvlJc w:val="left"/>
      <w:pPr>
        <w:ind w:left="640" w:leftChars="0" w:firstLine="0" w:firstLineChars="0"/>
      </w:pPr>
      <w:rPr>
        <w:rFonts w:hint="eastAsia" w:ascii="仿宋_GB2312" w:hAnsi="仿宋_GB2312" w:eastAsia="仿宋_GB2312" w:cs="仿宋_GB2312"/>
        <w:sz w:val="32"/>
        <w:szCs w:val="32"/>
      </w:rPr>
    </w:lvl>
  </w:abstractNum>
  <w:abstractNum w:abstractNumId="1">
    <w:nsid w:val="3843FBED"/>
    <w:multiLevelType w:val="singleLevel"/>
    <w:tmpl w:val="3843FBE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NzJmYjdiZTQzMWY1MGNhOTA0ODc2NmU2NjZkNjMifQ=="/>
  </w:docVars>
  <w:rsids>
    <w:rsidRoot w:val="00000000"/>
    <w:rsid w:val="00A46138"/>
    <w:rsid w:val="028E382A"/>
    <w:rsid w:val="02956D77"/>
    <w:rsid w:val="04035DD2"/>
    <w:rsid w:val="046E52E4"/>
    <w:rsid w:val="04801CC7"/>
    <w:rsid w:val="04A13B9C"/>
    <w:rsid w:val="064562B0"/>
    <w:rsid w:val="07923E6C"/>
    <w:rsid w:val="07C80D7C"/>
    <w:rsid w:val="07F81539"/>
    <w:rsid w:val="08DF02AB"/>
    <w:rsid w:val="098F6313"/>
    <w:rsid w:val="09CA6D90"/>
    <w:rsid w:val="0B563E1A"/>
    <w:rsid w:val="0B726A4D"/>
    <w:rsid w:val="0D054530"/>
    <w:rsid w:val="0F9067A2"/>
    <w:rsid w:val="10E62F94"/>
    <w:rsid w:val="11E30749"/>
    <w:rsid w:val="128A572B"/>
    <w:rsid w:val="12B502CE"/>
    <w:rsid w:val="15F106C0"/>
    <w:rsid w:val="161F0C76"/>
    <w:rsid w:val="171B30F9"/>
    <w:rsid w:val="18D503A7"/>
    <w:rsid w:val="1C752FA8"/>
    <w:rsid w:val="1D80337E"/>
    <w:rsid w:val="1F6D69EC"/>
    <w:rsid w:val="1F953961"/>
    <w:rsid w:val="20376F70"/>
    <w:rsid w:val="205E01F7"/>
    <w:rsid w:val="21116B5E"/>
    <w:rsid w:val="2690489B"/>
    <w:rsid w:val="26B80661"/>
    <w:rsid w:val="288F41F4"/>
    <w:rsid w:val="28F31788"/>
    <w:rsid w:val="29973107"/>
    <w:rsid w:val="29DB01C2"/>
    <w:rsid w:val="2B5135D5"/>
    <w:rsid w:val="2BB16660"/>
    <w:rsid w:val="2BC93C0E"/>
    <w:rsid w:val="2D056B20"/>
    <w:rsid w:val="2FD91648"/>
    <w:rsid w:val="33DD5D26"/>
    <w:rsid w:val="33F464A6"/>
    <w:rsid w:val="36693F11"/>
    <w:rsid w:val="371563A4"/>
    <w:rsid w:val="3868554E"/>
    <w:rsid w:val="3A267443"/>
    <w:rsid w:val="3A886177"/>
    <w:rsid w:val="3B3600AF"/>
    <w:rsid w:val="3C8F44D4"/>
    <w:rsid w:val="3E597C5F"/>
    <w:rsid w:val="3E6A003B"/>
    <w:rsid w:val="3E6F55EC"/>
    <w:rsid w:val="3EA034A1"/>
    <w:rsid w:val="3EEF72A4"/>
    <w:rsid w:val="401F2910"/>
    <w:rsid w:val="409D5461"/>
    <w:rsid w:val="42552DB0"/>
    <w:rsid w:val="427C6402"/>
    <w:rsid w:val="43046A7E"/>
    <w:rsid w:val="43F500B0"/>
    <w:rsid w:val="44536874"/>
    <w:rsid w:val="47486892"/>
    <w:rsid w:val="49583B27"/>
    <w:rsid w:val="4D4C4DB0"/>
    <w:rsid w:val="4FFB486F"/>
    <w:rsid w:val="5043249A"/>
    <w:rsid w:val="51D30376"/>
    <w:rsid w:val="523807BA"/>
    <w:rsid w:val="54224ABC"/>
    <w:rsid w:val="562C3EB6"/>
    <w:rsid w:val="59197F62"/>
    <w:rsid w:val="59DB6D12"/>
    <w:rsid w:val="5BEA2363"/>
    <w:rsid w:val="5C635E0D"/>
    <w:rsid w:val="5C7F0CFE"/>
    <w:rsid w:val="5D2E44D2"/>
    <w:rsid w:val="5D7E2D63"/>
    <w:rsid w:val="5E2E29DB"/>
    <w:rsid w:val="60FB78B8"/>
    <w:rsid w:val="61824A11"/>
    <w:rsid w:val="623A3138"/>
    <w:rsid w:val="6408210E"/>
    <w:rsid w:val="66934C5F"/>
    <w:rsid w:val="681A2FF1"/>
    <w:rsid w:val="68C80CA8"/>
    <w:rsid w:val="69F97106"/>
    <w:rsid w:val="6A822285"/>
    <w:rsid w:val="6C3B62C3"/>
    <w:rsid w:val="6C7B0BA6"/>
    <w:rsid w:val="6CDF30F3"/>
    <w:rsid w:val="6DA94052"/>
    <w:rsid w:val="6EDE64ED"/>
    <w:rsid w:val="6F075C29"/>
    <w:rsid w:val="705949D0"/>
    <w:rsid w:val="71A36DE5"/>
    <w:rsid w:val="72C20189"/>
    <w:rsid w:val="730E1012"/>
    <w:rsid w:val="74CB56C9"/>
    <w:rsid w:val="74D252CE"/>
    <w:rsid w:val="762F0DFF"/>
    <w:rsid w:val="76B63B2B"/>
    <w:rsid w:val="78276D39"/>
    <w:rsid w:val="79BE0C60"/>
    <w:rsid w:val="79D35A74"/>
    <w:rsid w:val="7B2965A8"/>
    <w:rsid w:val="7DAE537A"/>
    <w:rsid w:val="7E152E18"/>
    <w:rsid w:val="7E236902"/>
    <w:rsid w:val="7E6026A7"/>
    <w:rsid w:val="7F09322F"/>
    <w:rsid w:val="7F277D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next w:val="4"/>
    <w:qFormat/>
    <w:uiPriority w:val="0"/>
    <w:pPr>
      <w:adjustRightInd w:val="0"/>
      <w:snapToGrid w:val="0"/>
      <w:spacing w:line="300" w:lineRule="auto"/>
    </w:pPr>
    <w:rPr>
      <w:rFonts w:eastAsia="黑体"/>
      <w:sz w:val="36"/>
    </w:rPr>
  </w:style>
  <w:style w:type="paragraph" w:styleId="4">
    <w:name w:val="toc 2"/>
    <w:basedOn w:val="1"/>
    <w:next w:val="1"/>
    <w:qFormat/>
    <w:uiPriority w:val="0"/>
    <w:pPr>
      <w:widowControl w:val="0"/>
      <w:adjustRightInd w:val="0"/>
      <w:spacing w:line="360" w:lineRule="atLeast"/>
      <w:ind w:left="200" w:leftChars="200"/>
      <w:textAlignment w:val="baseline"/>
    </w:pPr>
    <w:rPr>
      <w:rFonts w:ascii="Times New Roman" w:hAnsi="Times New Roman" w:eastAsia="宋体" w:cs="Times New Roman"/>
      <w:sz w:val="24"/>
      <w:lang w:val="en-US" w:eastAsia="zh-CN" w:bidi="ar-SA"/>
    </w:rPr>
  </w:style>
  <w:style w:type="paragraph" w:styleId="5">
    <w:name w:val="Normal Indent"/>
    <w:basedOn w:val="1"/>
    <w:qFormat/>
    <w:uiPriority w:val="0"/>
    <w:pPr>
      <w:spacing w:line="360" w:lineRule="auto"/>
      <w:ind w:firstLine="420" w:firstLineChars="200"/>
    </w:pPr>
    <w:rPr>
      <w:rFonts w:ascii="Calibri" w:hAnsi="Calibri"/>
      <w:sz w:val="24"/>
    </w:rPr>
  </w:style>
  <w:style w:type="paragraph" w:styleId="6">
    <w:name w:val="index 5"/>
    <w:basedOn w:val="1"/>
    <w:next w:val="1"/>
    <w:unhideWhenUsed/>
    <w:qFormat/>
    <w:uiPriority w:val="99"/>
    <w:rPr>
      <w:rFonts w:ascii="方正楷体_GBK" w:eastAsia="方正楷体_GBK"/>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spacing w:line="660" w:lineRule="exact"/>
      <w:ind w:firstLine="705"/>
    </w:pPr>
    <w:rPr>
      <w:rFonts w:ascii="仿宋_GB2312" w:eastAsia="仿宋_GB2312"/>
      <w:color w:val="000000"/>
      <w:sz w:val="36"/>
      <w:szCs w:val="36"/>
    </w:rPr>
  </w:style>
  <w:style w:type="paragraph" w:styleId="10">
    <w:name w:val="Body Text 2"/>
    <w:qFormat/>
    <w:uiPriority w:val="0"/>
    <w:pPr>
      <w:widowControl w:val="0"/>
      <w:jc w:val="both"/>
    </w:pPr>
    <w:rPr>
      <w:rFonts w:ascii="Times New Roman" w:hAnsi="Times New Roman" w:eastAsia="隶书" w:cs="Times New Roman"/>
      <w:b/>
      <w:spacing w:val="20"/>
      <w:kern w:val="2"/>
      <w:sz w:val="48"/>
      <w:szCs w:val="24"/>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正文文本1"/>
    <w:basedOn w:val="1"/>
    <w:qFormat/>
    <w:uiPriority w:val="0"/>
    <w:pPr>
      <w:widowControl w:val="0"/>
      <w:shd w:val="clear" w:color="auto" w:fill="FFFFFF"/>
      <w:spacing w:line="377" w:lineRule="auto"/>
      <w:ind w:firstLine="400"/>
    </w:pPr>
    <w:rPr>
      <w:rFonts w:ascii="MingLiU" w:hAnsi="MingLiU" w:eastAsia="MingLiU" w:cs="MingLiU"/>
      <w:sz w:val="30"/>
      <w:szCs w:val="30"/>
      <w:u w:val="none"/>
      <w:lang w:val="zh-CN" w:eastAsia="zh-CN" w:bidi="zh-CN"/>
    </w:rPr>
  </w:style>
  <w:style w:type="paragraph" w:customStyle="1" w:styleId="16">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924</Words>
  <Characters>999</Characters>
  <Lines>0</Lines>
  <Paragraphs>0</Paragraphs>
  <TotalTime>22</TotalTime>
  <ScaleCrop>false</ScaleCrop>
  <LinksUpToDate>false</LinksUpToDate>
  <CharactersWithSpaces>1062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dc:creator>
  <cp:lastModifiedBy>ww</cp:lastModifiedBy>
  <cp:lastPrinted>2022-05-07T01:54:00Z</cp:lastPrinted>
  <dcterms:modified xsi:type="dcterms:W3CDTF">2024-06-07T00:51:30Z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256E2CBEBAE54645BD0EC058CEFD91D1_13</vt:lpwstr>
  </property>
</Properties>
</file>