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rPr>
          <w:rFonts w:hint="eastAsia" w:asciiTheme="majorEastAsia" w:hAnsiTheme="majorEastAsia" w:eastAsiaTheme="majorEastAsia" w:cstheme="majorEastAsia"/>
          <w:b/>
          <w:bCs/>
          <w:color w:val="auto"/>
          <w:sz w:val="44"/>
          <w:szCs w:val="44"/>
          <w:lang w:val="en-US" w:eastAsia="zh-CN"/>
        </w:rPr>
      </w:pPr>
    </w:p>
    <w:p>
      <w:pPr>
        <w:numPr>
          <w:ilvl w:val="0"/>
          <w:numId w:val="0"/>
        </w:numPr>
        <w:jc w:val="center"/>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靖宇县濛江乡人民政府2023年度衔接</w:t>
      </w:r>
    </w:p>
    <w:p>
      <w:pPr>
        <w:numPr>
          <w:ilvl w:val="0"/>
          <w:numId w:val="0"/>
        </w:numPr>
        <w:jc w:val="center"/>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及整合资金使用情况绩效自评总结</w:t>
      </w:r>
    </w:p>
    <w:p>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靖宇县财政局：</w:t>
      </w:r>
    </w:p>
    <w:p>
      <w:pPr>
        <w:ind w:firstLine="640" w:firstLineChars="200"/>
        <w:rPr>
          <w:rFonts w:hint="eastAsia" w:ascii="仿宋_GB2312" w:hAnsi="仿宋_GB2312" w:eastAsia="仿宋_GB2312" w:cs="仿宋_GB2312"/>
          <w:color w:val="auto"/>
          <w:spacing w:val="0"/>
          <w:w w:val="100"/>
          <w:kern w:val="0"/>
          <w:position w:val="0"/>
          <w:sz w:val="32"/>
          <w:szCs w:val="32"/>
          <w:highlight w:val="none"/>
          <w:lang w:val="en-US" w:eastAsia="zh-CN" w:bidi="ar"/>
        </w:rPr>
      </w:pPr>
      <w:r>
        <w:rPr>
          <w:rFonts w:hint="eastAsia" w:ascii="仿宋_GB2312" w:hAnsi="仿宋_GB2312" w:eastAsia="仿宋_GB2312" w:cs="仿宋_GB2312"/>
          <w:color w:val="auto"/>
          <w:spacing w:val="0"/>
          <w:w w:val="100"/>
          <w:kern w:val="0"/>
          <w:position w:val="0"/>
          <w:sz w:val="32"/>
          <w:szCs w:val="32"/>
          <w:highlight w:val="none"/>
          <w:lang w:val="en-US" w:eastAsia="zh-CN" w:bidi="ar"/>
        </w:rPr>
        <w:t>按照靖宇县财政局印发《关于对2023年度衔接及整合资金使用情况开展绩效自评总结工作的通知》（靖财农指〔2024〕603号）文件要求，现将我乡2023年度衔接及整合资金使用情况绩效自评总结如下：</w:t>
      </w:r>
    </w:p>
    <w:p>
      <w:pPr>
        <w:numPr>
          <w:ilvl w:val="0"/>
          <w:numId w:val="0"/>
        </w:numPr>
        <w:ind w:left="640" w:leftChars="0"/>
        <w:jc w:val="left"/>
        <w:rPr>
          <w:rFonts w:hint="eastAsia" w:ascii="黑体" w:hAnsi="黑体" w:eastAsia="黑体" w:cs="黑体"/>
          <w:sz w:val="32"/>
          <w:szCs w:val="32"/>
          <w:lang w:val="en-US" w:eastAsia="zh-CN"/>
        </w:rPr>
      </w:pPr>
      <w:r>
        <w:rPr>
          <w:rFonts w:hint="eastAsia" w:ascii="黑体" w:hAnsi="黑体" w:eastAsia="黑体" w:cs="黑体"/>
          <w:b w:val="0"/>
          <w:bCs w:val="0"/>
          <w:color w:val="auto"/>
          <w:sz w:val="32"/>
          <w:szCs w:val="32"/>
          <w:lang w:val="en-US" w:eastAsia="zh-CN"/>
        </w:rPr>
        <w:t>一、项目资金基本情况</w:t>
      </w:r>
    </w:p>
    <w:p>
      <w:pPr>
        <w:ind w:firstLine="640" w:firstLineChars="200"/>
        <w:rPr>
          <w:rFonts w:hint="eastAsia" w:ascii="仿宋_GB2312" w:hAnsi="仿宋_GB2312" w:eastAsia="仿宋_GB2312" w:cs="仿宋_GB2312"/>
          <w:color w:val="auto"/>
          <w:spacing w:val="0"/>
          <w:w w:val="100"/>
          <w:kern w:val="0"/>
          <w:position w:val="0"/>
          <w:sz w:val="32"/>
          <w:szCs w:val="32"/>
          <w:highlight w:val="none"/>
          <w:lang w:val="en-US" w:eastAsia="zh-CN" w:bidi="ar"/>
        </w:rPr>
      </w:pPr>
      <w:r>
        <w:rPr>
          <w:rFonts w:hint="eastAsia" w:ascii="仿宋_GB2312" w:hAnsi="仿宋_GB2312" w:eastAsia="仿宋_GB2312" w:cs="仿宋_GB2312"/>
          <w:color w:val="auto"/>
          <w:spacing w:val="0"/>
          <w:w w:val="100"/>
          <w:kern w:val="0"/>
          <w:position w:val="0"/>
          <w:sz w:val="32"/>
          <w:szCs w:val="32"/>
          <w:highlight w:val="none"/>
          <w:lang w:val="en-US" w:eastAsia="zh-CN" w:bidi="ar"/>
        </w:rPr>
        <w:t>按照县政府印发的《靖宇县2023年财政涉农资金统筹整合使用方案》和县委农村工作领导小组项目资金批复文件以及县财政下达的资金文件，2023年下达我乡衔接及整合资金总计709.9万元,实际安排资金615.148万元（包括衔接资金58.968万元），共涉及项目8个。其中产业项目2个，共计171.568万元；基础设施建设项目4个，共计440万元；其他项目2个，共计36.1万元。</w:t>
      </w:r>
    </w:p>
    <w:p>
      <w:pPr>
        <w:numPr>
          <w:ilvl w:val="0"/>
          <w:numId w:val="0"/>
        </w:numPr>
        <w:ind w:firstLine="640" w:firstLineChars="200"/>
        <w:jc w:val="left"/>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二、项目绩效管理情况</w:t>
      </w:r>
    </w:p>
    <w:p>
      <w:pPr>
        <w:numPr>
          <w:ilvl w:val="0"/>
          <w:numId w:val="0"/>
        </w:numPr>
        <w:ind w:firstLine="643" w:firstLineChars="200"/>
        <w:jc w:val="left"/>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（一）绩效管理</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pacing w:val="0"/>
          <w:w w:val="100"/>
          <w:kern w:val="0"/>
          <w:position w:val="0"/>
          <w:sz w:val="32"/>
          <w:szCs w:val="32"/>
          <w:highlight w:val="none"/>
          <w:lang w:val="en-US" w:eastAsia="zh-CN" w:bidi="ar"/>
        </w:rPr>
        <w:t>为加强衔接及整合资金管理工作，我乡根据不同类型的项目分别设定了绩效目标，产业项目按品种设定，基础设施按照实际施工内容设定，分别设定了数量指标、质量指标、时效指标、社会效益指标、可持续影响指标、服务对象满意度指标等。在县财政局和县乡村振兴服务中心指导下，我乡为完成好项目绩效目标，在项目实施过程中，安排专人定期开展项目实施情况和资金支出进度跟踪问查，全力推进项目建设，紧跟项目进度，及时进行资金支付。项目建设过程中，按照县财政局工作要求，对每一个项目均填报了《绩效目标申报表》和《绩效运行监控表》。</w:t>
      </w:r>
      <w:r>
        <w:rPr>
          <w:rFonts w:hint="eastAsia" w:ascii="仿宋_GB2312" w:hAnsi="仿宋_GB2312" w:eastAsia="仿宋_GB2312" w:cs="仿宋_GB2312"/>
          <w:sz w:val="32"/>
          <w:szCs w:val="32"/>
          <w:lang w:val="en-US" w:eastAsia="zh-CN"/>
        </w:rPr>
        <w:t xml:space="preserve"> </w:t>
      </w:r>
    </w:p>
    <w:p>
      <w:pPr>
        <w:numPr>
          <w:ilvl w:val="0"/>
          <w:numId w:val="0"/>
        </w:numPr>
        <w:ind w:firstLine="643" w:firstLineChars="200"/>
        <w:jc w:val="left"/>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（二）公告公示情况</w:t>
      </w:r>
    </w:p>
    <w:p>
      <w:pPr>
        <w:numPr>
          <w:ilvl w:val="0"/>
          <w:numId w:val="0"/>
        </w:numPr>
        <w:ind w:firstLine="640"/>
        <w:jc w:val="both"/>
        <w:rPr>
          <w:rFonts w:hint="eastAsia" w:ascii="仿宋_GB2312" w:hAnsi="仿宋_GB2312" w:eastAsia="仿宋_GB2312" w:cs="仿宋_GB2312"/>
          <w:color w:val="auto"/>
          <w:spacing w:val="0"/>
          <w:w w:val="100"/>
          <w:kern w:val="0"/>
          <w:position w:val="0"/>
          <w:sz w:val="32"/>
          <w:szCs w:val="32"/>
          <w:highlight w:val="none"/>
          <w:lang w:val="en-US" w:eastAsia="zh-CN" w:bidi="ar"/>
        </w:rPr>
      </w:pPr>
      <w:r>
        <w:rPr>
          <w:rFonts w:hint="eastAsia" w:ascii="仿宋_GB2312" w:hAnsi="仿宋_GB2312" w:eastAsia="仿宋_GB2312" w:cs="仿宋_GB2312"/>
          <w:color w:val="auto"/>
          <w:spacing w:val="0"/>
          <w:w w:val="100"/>
          <w:kern w:val="0"/>
          <w:position w:val="0"/>
          <w:sz w:val="32"/>
          <w:szCs w:val="32"/>
          <w:highlight w:val="none"/>
          <w:lang w:val="en-US" w:eastAsia="zh-CN" w:bidi="ar"/>
        </w:rPr>
        <w:t>对于每一个项目，开工前都在所在村屯进行公告公示。项目竣工后，将竣工结算结果先行公示，无反馈问题后，再进行最终结算付款。我乡实施的项目均没有收到全国12317防止返贫监测和乡村振兴咨询服务平台(简称12317平台)反馈问题。</w:t>
      </w:r>
    </w:p>
    <w:p>
      <w:pPr>
        <w:numPr>
          <w:ilvl w:val="0"/>
          <w:numId w:val="0"/>
        </w:numPr>
        <w:ind w:firstLine="640" w:firstLineChars="200"/>
        <w:jc w:val="left"/>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三、目标完成情况分析</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3" w:firstLineChars="200"/>
        <w:rPr>
          <w:rFonts w:hint="eastAsia" w:ascii="楷体" w:hAnsi="楷体" w:eastAsia="楷体" w:cs="楷体"/>
          <w:b/>
          <w:bCs/>
          <w:color w:val="auto"/>
          <w:spacing w:val="0"/>
          <w:w w:val="100"/>
          <w:position w:val="0"/>
          <w:sz w:val="32"/>
          <w:szCs w:val="32"/>
          <w:highlight w:val="none"/>
          <w:u w:val="none"/>
          <w:lang w:val="en-US" w:eastAsia="zh-CN"/>
        </w:rPr>
      </w:pPr>
      <w:r>
        <w:rPr>
          <w:rFonts w:hint="eastAsia" w:ascii="楷体" w:hAnsi="楷体" w:eastAsia="楷体" w:cs="楷体"/>
          <w:b/>
          <w:bCs/>
          <w:color w:val="auto"/>
          <w:spacing w:val="0"/>
          <w:w w:val="100"/>
          <w:position w:val="0"/>
          <w:sz w:val="32"/>
          <w:szCs w:val="32"/>
          <w:highlight w:val="none"/>
          <w:u w:val="none"/>
          <w:lang w:val="en-US" w:eastAsia="zh-CN"/>
        </w:rPr>
        <w:t>（一）预算执行率</w:t>
      </w:r>
    </w:p>
    <w:p>
      <w:pPr>
        <w:numPr>
          <w:ilvl w:val="0"/>
          <w:numId w:val="0"/>
        </w:numPr>
        <w:ind w:firstLine="640"/>
        <w:jc w:val="both"/>
        <w:rPr>
          <w:rFonts w:hint="eastAsia" w:ascii="仿宋_GB2312" w:hAnsi="仿宋_GB2312" w:eastAsia="仿宋_GB2312" w:cs="仿宋_GB2312"/>
          <w:color w:val="auto"/>
          <w:spacing w:val="0"/>
          <w:w w:val="100"/>
          <w:kern w:val="0"/>
          <w:position w:val="0"/>
          <w:sz w:val="32"/>
          <w:szCs w:val="32"/>
          <w:highlight w:val="none"/>
          <w:lang w:val="en-US" w:eastAsia="zh-CN" w:bidi="ar"/>
        </w:rPr>
      </w:pPr>
      <w:r>
        <w:rPr>
          <w:rFonts w:hint="eastAsia" w:ascii="仿宋_GB2312" w:hAnsi="仿宋_GB2312" w:eastAsia="仿宋_GB2312" w:cs="仿宋_GB2312"/>
          <w:color w:val="auto"/>
          <w:spacing w:val="0"/>
          <w:w w:val="100"/>
          <w:kern w:val="0"/>
          <w:position w:val="0"/>
          <w:sz w:val="32"/>
          <w:szCs w:val="32"/>
          <w:highlight w:val="none"/>
          <w:lang w:val="en-US" w:eastAsia="zh-CN" w:bidi="ar"/>
        </w:rPr>
        <w:t>2023年度计划下达我乡衔接及整合资金资金合计709.9万元，实际下达615.148万元，截止2024年5月31日，实际支出537.168万元，执行率87.32%。</w:t>
      </w:r>
    </w:p>
    <w:p>
      <w:pPr>
        <w:numPr>
          <w:ilvl w:val="0"/>
          <w:numId w:val="0"/>
        </w:numPr>
        <w:ind w:firstLine="643" w:firstLineChars="200"/>
        <w:jc w:val="left"/>
        <w:rPr>
          <w:rFonts w:hint="eastAsia" w:ascii="仿宋_GB2312" w:hAnsi="仿宋_GB2312" w:eastAsia="仿宋_GB2312" w:cs="仿宋_GB2312"/>
          <w:color w:val="auto"/>
          <w:spacing w:val="0"/>
          <w:w w:val="100"/>
          <w:kern w:val="0"/>
          <w:position w:val="0"/>
          <w:sz w:val="32"/>
          <w:szCs w:val="32"/>
          <w:highlight w:val="none"/>
          <w:lang w:val="en-US" w:eastAsia="zh-CN" w:bidi="ar"/>
        </w:rPr>
      </w:pPr>
      <w:r>
        <w:rPr>
          <w:rFonts w:hint="eastAsia" w:ascii="楷体" w:hAnsi="楷体" w:eastAsia="楷体" w:cs="楷体"/>
          <w:b/>
          <w:bCs/>
          <w:color w:val="auto"/>
          <w:kern w:val="2"/>
          <w:sz w:val="32"/>
          <w:szCs w:val="32"/>
          <w:highlight w:val="none"/>
          <w:lang w:val="en-US" w:eastAsia="zh-CN" w:bidi="ar-SA"/>
        </w:rPr>
        <w:t>（二）</w:t>
      </w:r>
      <w:r>
        <w:rPr>
          <w:rFonts w:hint="eastAsia" w:ascii="楷体" w:hAnsi="楷体" w:eastAsia="楷体" w:cs="楷体"/>
          <w:b/>
          <w:bCs/>
          <w:color w:val="auto"/>
          <w:kern w:val="2"/>
          <w:sz w:val="32"/>
          <w:szCs w:val="32"/>
          <w:lang w:val="en-US" w:eastAsia="zh-CN" w:bidi="ar-SA"/>
        </w:rPr>
        <w:t>分类资金使用效益</w:t>
      </w:r>
    </w:p>
    <w:p>
      <w:pPr>
        <w:numPr>
          <w:ilvl w:val="0"/>
          <w:numId w:val="0"/>
        </w:numPr>
        <w:ind w:firstLine="643" w:firstLineChars="200"/>
        <w:jc w:val="left"/>
        <w:rPr>
          <w:rFonts w:hint="eastAsia" w:ascii="仿宋_GB2312" w:hAnsi="仿宋_GB2312" w:eastAsia="仿宋_GB2312" w:cs="仿宋_GB2312"/>
          <w:color w:val="auto"/>
          <w:spacing w:val="0"/>
          <w:w w:val="100"/>
          <w:kern w:val="0"/>
          <w:position w:val="0"/>
          <w:sz w:val="32"/>
          <w:szCs w:val="32"/>
          <w:highlight w:val="none"/>
          <w:lang w:val="en-US" w:eastAsia="zh-CN" w:bidi="ar"/>
        </w:rPr>
      </w:pPr>
      <w:r>
        <w:rPr>
          <w:rFonts w:hint="eastAsia" w:ascii="仿宋_GB2312" w:hAnsi="仿宋_GB2312" w:eastAsia="仿宋_GB2312" w:cs="仿宋_GB2312"/>
          <w:b/>
          <w:bCs/>
          <w:color w:val="auto"/>
          <w:kern w:val="2"/>
          <w:sz w:val="32"/>
          <w:szCs w:val="32"/>
          <w:lang w:val="en-US" w:eastAsia="zh-CN" w:bidi="ar-SA"/>
        </w:rPr>
        <w:t>1.产业项目。</w:t>
      </w:r>
    </w:p>
    <w:p>
      <w:pPr>
        <w:numPr>
          <w:ilvl w:val="0"/>
          <w:numId w:val="0"/>
        </w:numPr>
        <w:ind w:firstLine="640"/>
        <w:jc w:val="both"/>
        <w:rPr>
          <w:rFonts w:hint="eastAsia" w:ascii="仿宋_GB2312" w:hAnsi="仿宋_GB2312" w:eastAsia="仿宋_GB2312" w:cs="仿宋_GB2312"/>
          <w:color w:val="auto"/>
          <w:spacing w:val="0"/>
          <w:w w:val="100"/>
          <w:kern w:val="0"/>
          <w:position w:val="0"/>
          <w:sz w:val="32"/>
          <w:szCs w:val="32"/>
          <w:highlight w:val="none"/>
          <w:lang w:val="en-US" w:eastAsia="zh-CN" w:bidi="ar"/>
        </w:rPr>
      </w:pPr>
      <w:r>
        <w:rPr>
          <w:rFonts w:hint="eastAsia" w:ascii="仿宋_GB2312" w:hAnsi="仿宋_GB2312" w:eastAsia="仿宋_GB2312" w:cs="仿宋_GB2312"/>
          <w:color w:val="auto"/>
          <w:spacing w:val="0"/>
          <w:w w:val="100"/>
          <w:kern w:val="0"/>
          <w:position w:val="0"/>
          <w:sz w:val="32"/>
          <w:szCs w:val="32"/>
          <w:highlight w:val="none"/>
          <w:lang w:val="en-US" w:eastAsia="zh-CN" w:bidi="ar"/>
        </w:rPr>
        <w:t>（1）“因户施策”项目。濛江乡2023年“因户施策”项目使用整合资金112.6万元，为实施产业项目的脱贫（监测）户按照每人2000元的标准采购贝母种栽，由农户进行发展促进增收。</w:t>
      </w:r>
    </w:p>
    <w:p>
      <w:pPr>
        <w:numPr>
          <w:ilvl w:val="0"/>
          <w:numId w:val="0"/>
        </w:numPr>
        <w:ind w:firstLine="640"/>
        <w:jc w:val="both"/>
        <w:rPr>
          <w:rFonts w:hint="eastAsia" w:ascii="仿宋_GB2312" w:hAnsi="仿宋_GB2312" w:eastAsia="仿宋_GB2312" w:cs="仿宋_GB2312"/>
          <w:color w:val="auto"/>
          <w:spacing w:val="0"/>
          <w:w w:val="100"/>
          <w:kern w:val="0"/>
          <w:position w:val="0"/>
          <w:sz w:val="32"/>
          <w:szCs w:val="32"/>
          <w:highlight w:val="none"/>
          <w:lang w:val="en-US" w:eastAsia="zh-CN" w:bidi="ar"/>
        </w:rPr>
      </w:pPr>
      <w:r>
        <w:rPr>
          <w:rFonts w:hint="eastAsia" w:ascii="仿宋_GB2312" w:hAnsi="仿宋_GB2312" w:eastAsia="仿宋_GB2312" w:cs="仿宋_GB2312"/>
          <w:color w:val="auto"/>
          <w:spacing w:val="0"/>
          <w:w w:val="100"/>
          <w:kern w:val="0"/>
          <w:position w:val="0"/>
          <w:sz w:val="32"/>
          <w:szCs w:val="32"/>
          <w:highlight w:val="none"/>
          <w:lang w:val="en-US" w:eastAsia="zh-CN" w:bidi="ar"/>
        </w:rPr>
        <w:t>（2）“以奖代补”项目。濛江乡2023年度“以奖代补”项目使用整合资金58.968万元，为脱贫（监测）户发展的种养殖项目进行资金补贴，促进有劳动能力的农户增收，稳定脱贫成果。</w:t>
      </w:r>
    </w:p>
    <w:p>
      <w:pPr>
        <w:numPr>
          <w:ilvl w:val="0"/>
          <w:numId w:val="0"/>
        </w:numPr>
        <w:ind w:firstLine="643" w:firstLineChars="200"/>
        <w:jc w:val="left"/>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2.基础设施建设项目。</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pacing w:val="0"/>
          <w:w w:val="100"/>
          <w:kern w:val="0"/>
          <w:position w:val="0"/>
          <w:sz w:val="32"/>
          <w:szCs w:val="32"/>
          <w:highlight w:val="none"/>
          <w:lang w:val="en-US" w:eastAsia="zh-CN" w:bidi="ar"/>
        </w:rPr>
      </w:pPr>
      <w:r>
        <w:rPr>
          <w:rFonts w:hint="eastAsia" w:ascii="仿宋_GB2312" w:hAnsi="仿宋_GB2312" w:eastAsia="仿宋_GB2312" w:cs="仿宋_GB2312"/>
          <w:color w:val="auto"/>
          <w:spacing w:val="0"/>
          <w:w w:val="100"/>
          <w:kern w:val="0"/>
          <w:position w:val="0"/>
          <w:sz w:val="32"/>
          <w:szCs w:val="32"/>
          <w:highlight w:val="none"/>
          <w:lang w:val="en-US" w:eastAsia="zh-CN" w:bidi="ar"/>
        </w:rPr>
        <w:t>（1）濛江乡后双山村荷花园配套餐饮服务项目。该项目计划安排整合资金60万元，实际安排资金60万元，新建一间饭店，完成总建筑面积194.11平方米。该项目的实施能够促进当地荷花园旅游产业更好发展。</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pacing w:val="0"/>
          <w:w w:val="100"/>
          <w:kern w:val="0"/>
          <w:position w:val="0"/>
          <w:sz w:val="32"/>
          <w:szCs w:val="32"/>
          <w:highlight w:val="none"/>
          <w:lang w:val="en-US" w:eastAsia="zh-CN" w:bidi="ar"/>
        </w:rPr>
      </w:pPr>
      <w:r>
        <w:rPr>
          <w:rFonts w:hint="eastAsia" w:ascii="仿宋_GB2312" w:hAnsi="仿宋_GB2312" w:eastAsia="仿宋_GB2312" w:cs="仿宋_GB2312"/>
          <w:color w:val="auto"/>
          <w:spacing w:val="0"/>
          <w:w w:val="100"/>
          <w:kern w:val="0"/>
          <w:position w:val="0"/>
          <w:sz w:val="32"/>
          <w:szCs w:val="32"/>
          <w:highlight w:val="none"/>
          <w:lang w:val="en-US" w:eastAsia="zh-CN" w:bidi="ar"/>
        </w:rPr>
        <w:t>（2）濛江乡育新种鹿场存储库建设项目。该项目计划安排整合资金200万元，实际安排198.98万元。新建1号存储库为单层丁类库房；总建筑面积 767.17m2 ，檐口高度为6.45m、2号存储库为单层丁类库房；总建筑面积 1893.14m2檐口高度为4.5m、3号职工休息间，总建筑面积 102.09m2檐口高度为4.45m。该项目的实施，能够促进当地产业项目更好地发展，带动村集体经济增收。</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pacing w:val="0"/>
          <w:w w:val="100"/>
          <w:kern w:val="0"/>
          <w:position w:val="0"/>
          <w:sz w:val="32"/>
          <w:szCs w:val="32"/>
          <w:highlight w:val="none"/>
          <w:lang w:val="en-US" w:eastAsia="zh-CN" w:bidi="ar"/>
        </w:rPr>
      </w:pPr>
      <w:r>
        <w:rPr>
          <w:rFonts w:hint="eastAsia" w:ascii="仿宋_GB2312" w:hAnsi="仿宋_GB2312" w:eastAsia="仿宋_GB2312" w:cs="仿宋_GB2312"/>
          <w:color w:val="auto"/>
          <w:spacing w:val="0"/>
          <w:w w:val="100"/>
          <w:kern w:val="0"/>
          <w:position w:val="0"/>
          <w:sz w:val="32"/>
          <w:szCs w:val="32"/>
          <w:highlight w:val="none"/>
          <w:lang w:val="en-US" w:eastAsia="zh-CN" w:bidi="ar"/>
        </w:rPr>
        <w:t>（3）濛江乡徐家店村示范创建项目。该项目计划安排资金100万元，实际安排100万元，目前已拨付73万元，项目新建园林景观配套设施建设2532平方米，维修防护性围栏2526.48米,铺设路边石364米,铺设沥青硬化605平方米，停车场花海混凝土圆管涵铺设6米。该项目改善了徐家店村日常生活基本条件，村容村貌整体有效提升，是一项惠及民生的工程。</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pacing w:val="0"/>
          <w:w w:val="100"/>
          <w:kern w:val="0"/>
          <w:position w:val="0"/>
          <w:sz w:val="32"/>
          <w:szCs w:val="32"/>
          <w:highlight w:val="none"/>
          <w:lang w:val="en-US" w:eastAsia="zh-CN" w:bidi="ar"/>
        </w:rPr>
      </w:pPr>
      <w:r>
        <w:rPr>
          <w:rFonts w:hint="eastAsia" w:ascii="仿宋_GB2312" w:hAnsi="仿宋_GB2312" w:eastAsia="仿宋_GB2312" w:cs="仿宋_GB2312"/>
          <w:color w:val="auto"/>
          <w:spacing w:val="0"/>
          <w:w w:val="100"/>
          <w:kern w:val="0"/>
          <w:position w:val="0"/>
          <w:sz w:val="32"/>
          <w:szCs w:val="32"/>
          <w:highlight w:val="none"/>
          <w:lang w:val="en-US" w:eastAsia="zh-CN" w:bidi="ar"/>
        </w:rPr>
        <w:t>（4）濛江乡南天门村冷库建设项目。该项目2023年计划安排资金80万元，实际拨付资金77万元，本项目建设一间冷库824平方米。该项目的建设，更有效的促进当地产业发展，增加村集体经济收入。</w:t>
      </w:r>
    </w:p>
    <w:p>
      <w:pPr>
        <w:pStyle w:val="2"/>
        <w:numPr>
          <w:ilvl w:val="0"/>
          <w:numId w:val="0"/>
        </w:numPr>
        <w:ind w:leftChars="200" w:firstLine="321" w:firstLineChars="1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3.其他项目。</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pacing w:val="0"/>
          <w:w w:val="100"/>
          <w:kern w:val="0"/>
          <w:position w:val="0"/>
          <w:sz w:val="32"/>
          <w:szCs w:val="32"/>
          <w:highlight w:val="none"/>
          <w:lang w:val="en-US" w:eastAsia="zh-CN" w:bidi="ar"/>
        </w:rPr>
      </w:pPr>
      <w:r>
        <w:rPr>
          <w:rFonts w:hint="eastAsia" w:ascii="仿宋_GB2312" w:hAnsi="仿宋_GB2312" w:eastAsia="仿宋_GB2312" w:cs="仿宋_GB2312"/>
          <w:color w:val="auto"/>
          <w:spacing w:val="0"/>
          <w:w w:val="100"/>
          <w:kern w:val="0"/>
          <w:position w:val="0"/>
          <w:sz w:val="32"/>
          <w:szCs w:val="32"/>
          <w:highlight w:val="none"/>
          <w:lang w:val="en-US" w:eastAsia="zh-CN" w:bidi="ar"/>
        </w:rPr>
        <w:t>（1）濛江乡2023年春季、秋季“雨露计划”项目。该项目使用整合资金9.6万元，资助建档立卡脱贫（监测）户子女63人次，为脱贫（监测）家庭子女提素质、学技能、促就业、增收入提供保障。</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eastAsia="仿宋_GB2312" w:cs="仿宋_GB2312"/>
          <w:color w:val="auto"/>
          <w:spacing w:val="0"/>
          <w:w w:val="100"/>
          <w:kern w:val="0"/>
          <w:position w:val="0"/>
          <w:sz w:val="32"/>
          <w:szCs w:val="32"/>
          <w:highlight w:val="none"/>
          <w:lang w:val="en-US" w:eastAsia="zh-CN" w:bidi="ar"/>
        </w:rPr>
      </w:pPr>
      <w:r>
        <w:rPr>
          <w:rFonts w:hint="eastAsia" w:ascii="仿宋_GB2312" w:hAnsi="仿宋_GB2312" w:eastAsia="仿宋_GB2312" w:cs="仿宋_GB2312"/>
          <w:color w:val="auto"/>
          <w:spacing w:val="0"/>
          <w:w w:val="100"/>
          <w:kern w:val="0"/>
          <w:position w:val="0"/>
          <w:sz w:val="32"/>
          <w:szCs w:val="32"/>
          <w:highlight w:val="none"/>
          <w:lang w:val="en-US" w:eastAsia="zh-CN" w:bidi="ar"/>
        </w:rPr>
        <w:t>（2）濛江乡2021-2023年示范村村庄规划编制项目。该项目使用整合资金25万元，对濛江乡前双山子村、后双山村、珠子河村、板石村、徐家店村进行了村庄规划编制工作，为5个村未来15年发展，科学合理的进行了谋划布局。</w:t>
      </w:r>
    </w:p>
    <w:p>
      <w:pPr>
        <w:pStyle w:val="2"/>
        <w:numPr>
          <w:ilvl w:val="0"/>
          <w:numId w:val="1"/>
        </w:numPr>
        <w:ind w:firstLine="640" w:firstLineChars="200"/>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偏离绩效目标的原因</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pacing w:val="0"/>
          <w:w w:val="100"/>
          <w:kern w:val="0"/>
          <w:position w:val="0"/>
          <w:sz w:val="32"/>
          <w:szCs w:val="32"/>
          <w:highlight w:val="none"/>
          <w:lang w:val="en-US" w:eastAsia="zh-CN" w:bidi="ar"/>
        </w:rPr>
      </w:pPr>
      <w:r>
        <w:rPr>
          <w:rFonts w:hint="eastAsia" w:ascii="仿宋_GB2312" w:hAnsi="仿宋_GB2312" w:eastAsia="仿宋_GB2312" w:cs="仿宋_GB2312"/>
          <w:color w:val="auto"/>
          <w:spacing w:val="0"/>
          <w:w w:val="100"/>
          <w:kern w:val="0"/>
          <w:position w:val="0"/>
          <w:sz w:val="32"/>
          <w:szCs w:val="32"/>
          <w:highlight w:val="none"/>
          <w:lang w:val="en-US" w:eastAsia="zh-CN" w:bidi="ar"/>
        </w:rPr>
        <w:t>我乡在对2023年度衔接及整合资金使用情况开展绩效自评工作过程中，发现有3个项目存在偏离绩效目标的情况，具体原因如下：</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pacing w:val="0"/>
          <w:w w:val="100"/>
          <w:kern w:val="0"/>
          <w:position w:val="0"/>
          <w:sz w:val="32"/>
          <w:szCs w:val="32"/>
          <w:highlight w:val="none"/>
          <w:lang w:val="en-US" w:eastAsia="zh-CN" w:bidi="ar"/>
        </w:rPr>
      </w:pPr>
      <w:r>
        <w:rPr>
          <w:rFonts w:hint="eastAsia" w:ascii="仿宋_GB2312" w:hAnsi="仿宋_GB2312" w:eastAsia="仿宋_GB2312" w:cs="仿宋_GB2312"/>
          <w:color w:val="auto"/>
          <w:spacing w:val="0"/>
          <w:w w:val="100"/>
          <w:kern w:val="0"/>
          <w:position w:val="0"/>
          <w:sz w:val="32"/>
          <w:szCs w:val="32"/>
          <w:highlight w:val="none"/>
          <w:lang w:val="en-US" w:eastAsia="zh-CN" w:bidi="ar"/>
        </w:rPr>
        <w:t>1.濛江乡2023年度以奖代补（庭院经济）项目</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pacing w:val="0"/>
          <w:w w:val="100"/>
          <w:kern w:val="0"/>
          <w:position w:val="0"/>
          <w:sz w:val="32"/>
          <w:szCs w:val="32"/>
          <w:highlight w:val="none"/>
          <w:lang w:val="en-US" w:eastAsia="zh-CN" w:bidi="ar"/>
        </w:rPr>
      </w:pPr>
      <w:r>
        <w:rPr>
          <w:rFonts w:hint="eastAsia" w:ascii="仿宋_GB2312" w:hAnsi="仿宋_GB2312" w:eastAsia="仿宋_GB2312" w:cs="仿宋_GB2312"/>
          <w:color w:val="auto"/>
          <w:spacing w:val="0"/>
          <w:w w:val="100"/>
          <w:kern w:val="0"/>
          <w:position w:val="0"/>
          <w:sz w:val="32"/>
          <w:szCs w:val="32"/>
          <w:highlight w:val="none"/>
          <w:lang w:val="en-US" w:eastAsia="zh-CN" w:bidi="ar"/>
        </w:rPr>
        <w:t>我乡2023年度以奖代补项目在实施过程中由各村汇总本村脱贫（监测）户实施产业项目情况，全乡合计121.2万元，在具体实施过程中，因2023年疫情结束农户个人外出务工意愿增强，故在</w:t>
      </w:r>
      <w:bookmarkStart w:id="0" w:name="_GoBack"/>
      <w:bookmarkEnd w:id="0"/>
      <w:r>
        <w:rPr>
          <w:rFonts w:hint="eastAsia" w:ascii="仿宋_GB2312" w:hAnsi="仿宋_GB2312" w:eastAsia="仿宋_GB2312" w:cs="仿宋_GB2312"/>
          <w:color w:val="auto"/>
          <w:spacing w:val="0"/>
          <w:w w:val="100"/>
          <w:kern w:val="0"/>
          <w:position w:val="0"/>
          <w:sz w:val="32"/>
          <w:szCs w:val="32"/>
          <w:highlight w:val="none"/>
          <w:lang w:val="en-US" w:eastAsia="zh-CN" w:bidi="ar"/>
        </w:rPr>
        <w:t>实际实施项目产生的奖补资金与年初申报存在偏差。</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pacing w:val="0"/>
          <w:w w:val="100"/>
          <w:kern w:val="0"/>
          <w:position w:val="0"/>
          <w:sz w:val="32"/>
          <w:szCs w:val="32"/>
          <w:highlight w:val="none"/>
          <w:lang w:val="en-US" w:eastAsia="zh-CN" w:bidi="ar"/>
        </w:rPr>
      </w:pPr>
      <w:r>
        <w:rPr>
          <w:rFonts w:hint="eastAsia" w:ascii="仿宋_GB2312" w:hAnsi="仿宋_GB2312" w:eastAsia="仿宋_GB2312" w:cs="仿宋_GB2312"/>
          <w:color w:val="auto"/>
          <w:spacing w:val="0"/>
          <w:w w:val="100"/>
          <w:kern w:val="0"/>
          <w:position w:val="0"/>
          <w:sz w:val="32"/>
          <w:szCs w:val="32"/>
          <w:highlight w:val="none"/>
          <w:lang w:val="en-US" w:eastAsia="zh-CN" w:bidi="ar"/>
        </w:rPr>
        <w:t>2.濛江乡2023年春季、秋季学期建档立卡贫困家庭学生中高职“雨露计划”项目。该项目在申报预计资金时，无法准确掌握实际升学学生人数，因此在申报时，结合我乡适龄升学学生人数进行初步预算，以此保证资金需求不高于计划安排的整合资金金额，故存在人数偏离的问题。</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color w:val="auto"/>
          <w:spacing w:val="0"/>
          <w:w w:val="100"/>
          <w:kern w:val="0"/>
          <w:position w:val="0"/>
          <w:sz w:val="32"/>
          <w:szCs w:val="32"/>
          <w:highlight w:val="none"/>
          <w:lang w:val="en-US" w:eastAsia="zh-CN" w:bidi="ar"/>
        </w:rPr>
      </w:pPr>
      <w:r>
        <w:rPr>
          <w:rFonts w:hint="eastAsia" w:ascii="仿宋_GB2312" w:hAnsi="仿宋_GB2312" w:eastAsia="仿宋_GB2312" w:cs="仿宋_GB2312"/>
          <w:color w:val="auto"/>
          <w:spacing w:val="0"/>
          <w:w w:val="100"/>
          <w:kern w:val="0"/>
          <w:position w:val="0"/>
          <w:sz w:val="32"/>
          <w:szCs w:val="32"/>
          <w:highlight w:val="none"/>
          <w:lang w:val="en-US" w:eastAsia="zh-CN" w:bidi="ar"/>
        </w:rPr>
        <w:t>3.濛江乡徐家店村示范创建项目。该项目年初计划安排资金100万元，计划完成总工程量的100%，我乡实际支出73万元，未完成年初目标。原因是2023年末未完成财政结算评审，故未完成计划目标。</w:t>
      </w:r>
    </w:p>
    <w:p>
      <w:pPr>
        <w:pStyle w:val="2"/>
        <w:numPr>
          <w:ilvl w:val="0"/>
          <w:numId w:val="2"/>
        </w:numPr>
        <w:ind w:firstLine="640" w:firstLineChars="20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整改措施</w:t>
      </w:r>
    </w:p>
    <w:p>
      <w:pPr>
        <w:pStyle w:val="2"/>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eastAsia="仿宋_GB2312" w:cs="仿宋_GB2312"/>
          <w:color w:val="auto"/>
          <w:spacing w:val="0"/>
          <w:w w:val="100"/>
          <w:kern w:val="0"/>
          <w:position w:val="0"/>
          <w:sz w:val="32"/>
          <w:szCs w:val="32"/>
          <w:highlight w:val="none"/>
          <w:lang w:val="en-US" w:eastAsia="zh-CN" w:bidi="ar"/>
        </w:rPr>
      </w:pPr>
      <w:r>
        <w:rPr>
          <w:rFonts w:hint="eastAsia" w:ascii="仿宋_GB2312" w:hAnsi="仿宋_GB2312" w:eastAsia="仿宋_GB2312" w:cs="仿宋_GB2312"/>
          <w:color w:val="auto"/>
          <w:spacing w:val="0"/>
          <w:w w:val="100"/>
          <w:kern w:val="0"/>
          <w:position w:val="0"/>
          <w:sz w:val="32"/>
          <w:szCs w:val="32"/>
          <w:highlight w:val="none"/>
          <w:lang w:val="en-US" w:eastAsia="zh-CN" w:bidi="ar"/>
        </w:rPr>
        <w:t>我乡政府对偏离绩效目标的项目整改工作高度重视，积极推进各项工作，针对以奖代补项目存在的问题，我乡要求各村今后在年初申报过程中，综合考虑各方面因素，争取做到更准确申报。对于濛江乡徐家店村示范创建项目2023年末未完成结算评审工作，目前项目已完成财政结算评审。预计7月末前完成工程全部工作。在今后的工作中加快推进项目的进程，保证项目实施后能达到项目绩效目标，避免绩效目标偏离的情况再次出现。</w:t>
      </w:r>
    </w:p>
    <w:p>
      <w:pPr>
        <w:numPr>
          <w:ilvl w:val="0"/>
          <w:numId w:val="0"/>
        </w:numPr>
        <w:ind w:firstLine="640" w:firstLineChars="200"/>
        <w:jc w:val="left"/>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sz w:val="32"/>
          <w:szCs w:val="32"/>
          <w:lang w:val="en-US" w:eastAsia="zh-CN"/>
        </w:rPr>
        <w:t>六、</w:t>
      </w:r>
      <w:r>
        <w:rPr>
          <w:rFonts w:hint="eastAsia" w:ascii="黑体" w:hAnsi="黑体" w:eastAsia="黑体" w:cs="黑体"/>
          <w:color w:val="auto"/>
          <w:kern w:val="2"/>
          <w:sz w:val="32"/>
          <w:szCs w:val="32"/>
          <w:highlight w:val="none"/>
          <w:lang w:val="en-US" w:eastAsia="zh-CN" w:bidi="ar-SA"/>
        </w:rPr>
        <w:t>机制创新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1"/>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2"/>
          <w:sz w:val="32"/>
          <w:szCs w:val="32"/>
          <w:lang w:val="en-US" w:eastAsia="zh-CN" w:bidi="ar-SA"/>
        </w:rPr>
        <w:t>在衔接及整合资金项目管理方面，</w:t>
      </w:r>
      <w:r>
        <w:rPr>
          <w:rFonts w:hint="eastAsia" w:ascii="仿宋_GB2312" w:hAnsi="仿宋_GB2312" w:eastAsia="仿宋_GB2312" w:cs="仿宋_GB2312"/>
          <w:sz w:val="32"/>
          <w:szCs w:val="32"/>
          <w:lang w:val="en-US" w:eastAsia="zh-CN"/>
        </w:rPr>
        <w:t>项目资金由财政所派专人管理，做到专款专用、专人管理。项目资金如有结余做退回财政处理，不挪做他用。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1"/>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2"/>
          <w:sz w:val="32"/>
          <w:szCs w:val="32"/>
          <w:lang w:val="en-US" w:eastAsia="zh-CN" w:bidi="ar-SA"/>
        </w:rPr>
        <w:t>在产业项目实施方面，我乡始终把脱贫（监测）户产业发展放在首位，针对</w:t>
      </w:r>
      <w:r>
        <w:rPr>
          <w:rFonts w:hint="eastAsia" w:ascii="仿宋_GB2312" w:hAnsi="仿宋_GB2312" w:eastAsia="仿宋_GB2312" w:cs="仿宋_GB2312"/>
          <w:sz w:val="32"/>
          <w:szCs w:val="32"/>
          <w:lang w:val="en-US" w:eastAsia="zh-CN"/>
        </w:rPr>
        <w:t>产业构成，不仅将种植、养殖业项目做大做强，更寻求规模化、专业化、可持续化发展路径，在收益上求实效。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1"/>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在基础设施建设项目上坚持便民利民原则，完善基础设施建设。在提升群众生活的舒适性的基础上，因地制宜谋划基础设施项目。保障实用性又提高观赏性，基础设施在量变的积累后实现质的飞跃。</w:t>
      </w:r>
    </w:p>
    <w:p>
      <w:pPr>
        <w:pStyle w:val="2"/>
        <w:ind w:left="0" w:leftChars="0" w:firstLine="0" w:firstLineChars="0"/>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color w:val="auto"/>
          <w:kern w:val="2"/>
          <w:sz w:val="32"/>
          <w:szCs w:val="32"/>
          <w:lang w:val="en-US" w:eastAsia="zh-CN" w:bidi="ar-SA"/>
        </w:rPr>
      </w:pPr>
    </w:p>
    <w:p>
      <w:pPr>
        <w:pStyle w:val="2"/>
        <w:jc w:val="righ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靖宇县濛江乡人民政府</w:t>
      </w:r>
    </w:p>
    <w:p>
      <w:pPr>
        <w:pStyle w:val="2"/>
        <w:jc w:val="right"/>
        <w:rPr>
          <w:rFonts w:hint="eastAsia" w:ascii="仿宋" w:hAnsi="仿宋" w:eastAsia="仿宋" w:cs="仿宋"/>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           2024年6月6日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00007A87" w:usb1="80000000" w:usb2="00000008"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楷体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MingLiU">
    <w:panose1 w:val="02020509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9E8DDD"/>
    <w:multiLevelType w:val="singleLevel"/>
    <w:tmpl w:val="DA9E8DDD"/>
    <w:lvl w:ilvl="0" w:tentative="0">
      <w:start w:val="4"/>
      <w:numFmt w:val="chineseCounting"/>
      <w:suff w:val="nothing"/>
      <w:lvlText w:val="%1、"/>
      <w:lvlJc w:val="left"/>
      <w:rPr>
        <w:rFonts w:hint="eastAsia"/>
      </w:rPr>
    </w:lvl>
  </w:abstractNum>
  <w:abstractNum w:abstractNumId="1">
    <w:nsid w:val="3843FBED"/>
    <w:multiLevelType w:val="singleLevel"/>
    <w:tmpl w:val="3843FBED"/>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iNDhkY2FlYWJlNWU5Njk2OTExMGQxZDQxMzRiOWUifQ=="/>
  </w:docVars>
  <w:rsids>
    <w:rsidRoot w:val="00000000"/>
    <w:rsid w:val="005315A5"/>
    <w:rsid w:val="00A46138"/>
    <w:rsid w:val="01114EB8"/>
    <w:rsid w:val="01AF0E8E"/>
    <w:rsid w:val="01EE19B6"/>
    <w:rsid w:val="028E382A"/>
    <w:rsid w:val="02956D77"/>
    <w:rsid w:val="04035DD2"/>
    <w:rsid w:val="046E52E4"/>
    <w:rsid w:val="04801CC7"/>
    <w:rsid w:val="04A13B9C"/>
    <w:rsid w:val="04B24C31"/>
    <w:rsid w:val="064562B0"/>
    <w:rsid w:val="06AB60A1"/>
    <w:rsid w:val="07923E6C"/>
    <w:rsid w:val="07C80D7C"/>
    <w:rsid w:val="08850751"/>
    <w:rsid w:val="08937225"/>
    <w:rsid w:val="08DF02AB"/>
    <w:rsid w:val="098F6313"/>
    <w:rsid w:val="09CA6D90"/>
    <w:rsid w:val="09EF451D"/>
    <w:rsid w:val="0A2747FB"/>
    <w:rsid w:val="0B563E1A"/>
    <w:rsid w:val="0B726A4D"/>
    <w:rsid w:val="0BD87233"/>
    <w:rsid w:val="0CC25F19"/>
    <w:rsid w:val="0D054530"/>
    <w:rsid w:val="0F865924"/>
    <w:rsid w:val="0F9067A2"/>
    <w:rsid w:val="10D868A2"/>
    <w:rsid w:val="10E62F94"/>
    <w:rsid w:val="12B502CE"/>
    <w:rsid w:val="14157E51"/>
    <w:rsid w:val="14D964F6"/>
    <w:rsid w:val="15035321"/>
    <w:rsid w:val="15F106C0"/>
    <w:rsid w:val="16096967"/>
    <w:rsid w:val="161F0C76"/>
    <w:rsid w:val="165916C2"/>
    <w:rsid w:val="171B30F9"/>
    <w:rsid w:val="18D503A7"/>
    <w:rsid w:val="18E13BCB"/>
    <w:rsid w:val="190A1374"/>
    <w:rsid w:val="1C752FA8"/>
    <w:rsid w:val="1CC61ED0"/>
    <w:rsid w:val="1D80337E"/>
    <w:rsid w:val="1D990835"/>
    <w:rsid w:val="1F953961"/>
    <w:rsid w:val="1FEF738A"/>
    <w:rsid w:val="20376F70"/>
    <w:rsid w:val="205E01F7"/>
    <w:rsid w:val="21091F11"/>
    <w:rsid w:val="21D70261"/>
    <w:rsid w:val="22274D44"/>
    <w:rsid w:val="2690489B"/>
    <w:rsid w:val="26B80661"/>
    <w:rsid w:val="288F41F4"/>
    <w:rsid w:val="28F23A0C"/>
    <w:rsid w:val="28F31788"/>
    <w:rsid w:val="29973107"/>
    <w:rsid w:val="29DB01C2"/>
    <w:rsid w:val="2A5F7045"/>
    <w:rsid w:val="2B5135D5"/>
    <w:rsid w:val="2BB14DDD"/>
    <w:rsid w:val="2BC93C0E"/>
    <w:rsid w:val="2D056B20"/>
    <w:rsid w:val="2D6329A9"/>
    <w:rsid w:val="2FD91648"/>
    <w:rsid w:val="311566B0"/>
    <w:rsid w:val="31921AAF"/>
    <w:rsid w:val="32933D30"/>
    <w:rsid w:val="32E82F02"/>
    <w:rsid w:val="33DD5D26"/>
    <w:rsid w:val="33EA5BD2"/>
    <w:rsid w:val="33F464A6"/>
    <w:rsid w:val="342A1F36"/>
    <w:rsid w:val="3434509F"/>
    <w:rsid w:val="35531555"/>
    <w:rsid w:val="36041BE8"/>
    <w:rsid w:val="36693F11"/>
    <w:rsid w:val="371563A4"/>
    <w:rsid w:val="37863E63"/>
    <w:rsid w:val="3868554E"/>
    <w:rsid w:val="39D215E2"/>
    <w:rsid w:val="3A0A5454"/>
    <w:rsid w:val="3A192D6D"/>
    <w:rsid w:val="3A267443"/>
    <w:rsid w:val="3A5E4C24"/>
    <w:rsid w:val="3B3600AF"/>
    <w:rsid w:val="3C7C5835"/>
    <w:rsid w:val="3C88696E"/>
    <w:rsid w:val="3C8F44D4"/>
    <w:rsid w:val="3DD07BE6"/>
    <w:rsid w:val="3E597C5F"/>
    <w:rsid w:val="3EA034A1"/>
    <w:rsid w:val="3EA07D90"/>
    <w:rsid w:val="3EEF72A4"/>
    <w:rsid w:val="3F1A13C1"/>
    <w:rsid w:val="3FA94B93"/>
    <w:rsid w:val="401F2910"/>
    <w:rsid w:val="409D5461"/>
    <w:rsid w:val="41D6025A"/>
    <w:rsid w:val="43046A7E"/>
    <w:rsid w:val="43F500B0"/>
    <w:rsid w:val="44336DE2"/>
    <w:rsid w:val="44536874"/>
    <w:rsid w:val="44986E2B"/>
    <w:rsid w:val="456A6B72"/>
    <w:rsid w:val="45E22BAD"/>
    <w:rsid w:val="47486892"/>
    <w:rsid w:val="47600023"/>
    <w:rsid w:val="488E3B8B"/>
    <w:rsid w:val="48F14EB5"/>
    <w:rsid w:val="49583B27"/>
    <w:rsid w:val="4C602A7D"/>
    <w:rsid w:val="4F691C49"/>
    <w:rsid w:val="4F715671"/>
    <w:rsid w:val="4FFB486F"/>
    <w:rsid w:val="5043249A"/>
    <w:rsid w:val="51CB31B6"/>
    <w:rsid w:val="51D30376"/>
    <w:rsid w:val="523807BA"/>
    <w:rsid w:val="52EE7304"/>
    <w:rsid w:val="53163E96"/>
    <w:rsid w:val="533802B0"/>
    <w:rsid w:val="53BA6F17"/>
    <w:rsid w:val="54224ABC"/>
    <w:rsid w:val="543A3BB4"/>
    <w:rsid w:val="55945847"/>
    <w:rsid w:val="562C3EB6"/>
    <w:rsid w:val="568D0913"/>
    <w:rsid w:val="58443253"/>
    <w:rsid w:val="59162131"/>
    <w:rsid w:val="59197F62"/>
    <w:rsid w:val="59DB6D12"/>
    <w:rsid w:val="59E545C2"/>
    <w:rsid w:val="5A252C10"/>
    <w:rsid w:val="5B6246B8"/>
    <w:rsid w:val="5BE865EB"/>
    <w:rsid w:val="5BEA2363"/>
    <w:rsid w:val="5C635E0D"/>
    <w:rsid w:val="5C9D30FF"/>
    <w:rsid w:val="5D7E2D63"/>
    <w:rsid w:val="5E2E29DB"/>
    <w:rsid w:val="5F5C0E82"/>
    <w:rsid w:val="5F922AF6"/>
    <w:rsid w:val="60FB78B8"/>
    <w:rsid w:val="61125E09"/>
    <w:rsid w:val="617A5F38"/>
    <w:rsid w:val="623A3138"/>
    <w:rsid w:val="62EA49F7"/>
    <w:rsid w:val="634265E1"/>
    <w:rsid w:val="6408210E"/>
    <w:rsid w:val="648E5B60"/>
    <w:rsid w:val="64FD3107"/>
    <w:rsid w:val="65385EEE"/>
    <w:rsid w:val="65C854C3"/>
    <w:rsid w:val="662535ED"/>
    <w:rsid w:val="666568DE"/>
    <w:rsid w:val="66934C5F"/>
    <w:rsid w:val="673D77EB"/>
    <w:rsid w:val="686010D2"/>
    <w:rsid w:val="68750405"/>
    <w:rsid w:val="68C80CA8"/>
    <w:rsid w:val="69F97106"/>
    <w:rsid w:val="6A822285"/>
    <w:rsid w:val="6B19231D"/>
    <w:rsid w:val="6B2F1B41"/>
    <w:rsid w:val="6B87054F"/>
    <w:rsid w:val="6BED7388"/>
    <w:rsid w:val="6C3B62C3"/>
    <w:rsid w:val="6CDF30F3"/>
    <w:rsid w:val="6DA94052"/>
    <w:rsid w:val="6DBA167A"/>
    <w:rsid w:val="6E1A6AD8"/>
    <w:rsid w:val="6EDE64ED"/>
    <w:rsid w:val="6F340F30"/>
    <w:rsid w:val="6FD17100"/>
    <w:rsid w:val="6FDD4783"/>
    <w:rsid w:val="701D5EDE"/>
    <w:rsid w:val="705949D0"/>
    <w:rsid w:val="715E4F2E"/>
    <w:rsid w:val="71F9046B"/>
    <w:rsid w:val="72800ED4"/>
    <w:rsid w:val="72C20189"/>
    <w:rsid w:val="73012015"/>
    <w:rsid w:val="730E1012"/>
    <w:rsid w:val="747B1953"/>
    <w:rsid w:val="74C90910"/>
    <w:rsid w:val="74CB56C9"/>
    <w:rsid w:val="74D252CE"/>
    <w:rsid w:val="751F5CF1"/>
    <w:rsid w:val="75C37A55"/>
    <w:rsid w:val="75CA2B92"/>
    <w:rsid w:val="76373F9F"/>
    <w:rsid w:val="768C39E0"/>
    <w:rsid w:val="76B63B2B"/>
    <w:rsid w:val="78276D39"/>
    <w:rsid w:val="79BE0C60"/>
    <w:rsid w:val="79D35A74"/>
    <w:rsid w:val="7ADE2C3C"/>
    <w:rsid w:val="7C37539F"/>
    <w:rsid w:val="7C647170"/>
    <w:rsid w:val="7DAE537A"/>
    <w:rsid w:val="7E6026A7"/>
    <w:rsid w:val="7F09322F"/>
    <w:rsid w:val="7F277D91"/>
    <w:rsid w:val="7F5636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Times New Roman" w:hAnsi="Times New Roman" w:eastAsia="宋体" w:cs="Times New Roman"/>
    </w:rPr>
  </w:style>
  <w:style w:type="paragraph" w:styleId="3">
    <w:name w:val="Body Text"/>
    <w:basedOn w:val="1"/>
    <w:next w:val="4"/>
    <w:qFormat/>
    <w:uiPriority w:val="0"/>
    <w:pPr>
      <w:adjustRightInd w:val="0"/>
      <w:snapToGrid w:val="0"/>
      <w:spacing w:line="300" w:lineRule="auto"/>
    </w:pPr>
    <w:rPr>
      <w:rFonts w:eastAsia="黑体"/>
      <w:sz w:val="36"/>
    </w:rPr>
  </w:style>
  <w:style w:type="paragraph" w:styleId="4">
    <w:name w:val="toc 2"/>
    <w:basedOn w:val="1"/>
    <w:next w:val="1"/>
    <w:qFormat/>
    <w:uiPriority w:val="0"/>
    <w:pPr>
      <w:widowControl w:val="0"/>
      <w:adjustRightInd w:val="0"/>
      <w:spacing w:line="360" w:lineRule="atLeast"/>
      <w:ind w:left="200" w:leftChars="200"/>
      <w:textAlignment w:val="baseline"/>
    </w:pPr>
    <w:rPr>
      <w:rFonts w:ascii="Times New Roman" w:hAnsi="Times New Roman" w:eastAsia="宋体" w:cs="Times New Roman"/>
      <w:sz w:val="24"/>
      <w:lang w:val="en-US" w:eastAsia="zh-CN" w:bidi="ar-SA"/>
    </w:rPr>
  </w:style>
  <w:style w:type="paragraph" w:styleId="5">
    <w:name w:val="Normal Indent"/>
    <w:basedOn w:val="1"/>
    <w:qFormat/>
    <w:uiPriority w:val="0"/>
    <w:pPr>
      <w:spacing w:line="360" w:lineRule="auto"/>
      <w:ind w:firstLine="420" w:firstLineChars="200"/>
    </w:pPr>
    <w:rPr>
      <w:rFonts w:ascii="Calibri" w:hAnsi="Calibri"/>
      <w:sz w:val="24"/>
    </w:rPr>
  </w:style>
  <w:style w:type="paragraph" w:styleId="6">
    <w:name w:val="index 5"/>
    <w:basedOn w:val="1"/>
    <w:next w:val="1"/>
    <w:unhideWhenUsed/>
    <w:qFormat/>
    <w:uiPriority w:val="99"/>
    <w:rPr>
      <w:rFonts w:ascii="方正楷体_GBK" w:eastAsia="方正楷体_GBK"/>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pPr>
      <w:spacing w:line="660" w:lineRule="exact"/>
      <w:ind w:firstLine="705"/>
    </w:pPr>
    <w:rPr>
      <w:rFonts w:ascii="仿宋_GB2312" w:eastAsia="仿宋_GB2312"/>
      <w:color w:val="000000"/>
      <w:sz w:val="36"/>
      <w:szCs w:val="36"/>
    </w:rPr>
  </w:style>
  <w:style w:type="paragraph" w:styleId="10">
    <w:name w:val="Body Text 2"/>
    <w:qFormat/>
    <w:uiPriority w:val="0"/>
    <w:pPr>
      <w:widowControl w:val="0"/>
      <w:jc w:val="both"/>
    </w:pPr>
    <w:rPr>
      <w:rFonts w:ascii="Times New Roman" w:hAnsi="Times New Roman" w:eastAsia="隶书" w:cs="Times New Roman"/>
      <w:b/>
      <w:spacing w:val="20"/>
      <w:kern w:val="2"/>
      <w:sz w:val="48"/>
      <w:szCs w:val="24"/>
      <w:lang w:val="en-US" w:eastAsia="zh-CN" w:bidi="ar-SA"/>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rPr>
  </w:style>
  <w:style w:type="paragraph" w:customStyle="1" w:styleId="15">
    <w:name w:val="正文文本1"/>
    <w:basedOn w:val="1"/>
    <w:qFormat/>
    <w:uiPriority w:val="0"/>
    <w:pPr>
      <w:widowControl w:val="0"/>
      <w:shd w:val="clear" w:color="auto" w:fill="FFFFFF"/>
      <w:spacing w:line="377" w:lineRule="auto"/>
      <w:ind w:firstLine="400"/>
    </w:pPr>
    <w:rPr>
      <w:rFonts w:ascii="MingLiU" w:hAnsi="MingLiU" w:eastAsia="MingLiU" w:cs="MingLiU"/>
      <w:sz w:val="30"/>
      <w:szCs w:val="30"/>
      <w:u w:val="none"/>
      <w:lang w:val="zh-CN" w:eastAsia="zh-CN" w:bidi="zh-CN"/>
    </w:rPr>
  </w:style>
  <w:style w:type="paragraph" w:customStyle="1" w:styleId="16">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2416</Words>
  <Characters>2641</Characters>
  <Lines>0</Lines>
  <Paragraphs>0</Paragraphs>
  <TotalTime>41</TotalTime>
  <ScaleCrop>false</ScaleCrop>
  <LinksUpToDate>false</LinksUpToDate>
  <CharactersWithSpaces>2677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ty</dc:creator>
  <cp:lastModifiedBy>Administrator</cp:lastModifiedBy>
  <cp:lastPrinted>2024-06-06T07:43:05Z</cp:lastPrinted>
  <dcterms:modified xsi:type="dcterms:W3CDTF">2024-06-06T08:11:10Z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A711C62AC79B4C7394F03EF805FE2F2F_13</vt:lpwstr>
  </property>
</Properties>
</file>