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3FFBB">
      <w:pPr>
        <w:pStyle w:val="2"/>
        <w:ind w:left="0" w:leftChars="0" w:firstLine="0" w:firstLineChars="0"/>
        <w:rPr>
          <w:rFonts w:hint="eastAsia" w:ascii="宋体" w:hAnsi="宋体" w:eastAsia="宋体" w:cs="宋体"/>
          <w:b w:val="0"/>
          <w:bCs w:val="0"/>
          <w:color w:val="auto"/>
          <w:sz w:val="28"/>
          <w:szCs w:val="28"/>
          <w:lang w:val="en-US" w:eastAsia="zh-CN"/>
        </w:rPr>
      </w:pPr>
    </w:p>
    <w:p w14:paraId="42924A13">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宋体" w:hAnsi="宋体" w:eastAsia="宋体" w:cs="宋体"/>
          <w:b/>
          <w:bCs/>
          <w:sz w:val="20"/>
        </w:rPr>
        <w:pict>
          <v:shape id="_x0000_s1026" o:spid="_x0000_s1026" o:spt="136" type="#_x0000_t136" style="position:absolute;left:0pt;margin-left:0.3pt;margin-top:23.55pt;height:65.05pt;width:418.5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龙泉镇人民政府&#10;" style="font-family:宋体;font-size:48pt;v-rotate-letters:f;v-same-letter-heights:f;v-text-align:center;v-text-spacing:85197f;"/>
          </v:shape>
        </w:pict>
      </w:r>
    </w:p>
    <w:p w14:paraId="5A5D0744">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4DC6B9E7">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24C18FAC">
      <w:pPr>
        <w:pStyle w:val="2"/>
        <w:rPr>
          <w:rFonts w:hint="eastAsia"/>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210820</wp:posOffset>
                </wp:positionV>
                <wp:extent cx="59912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1223010" y="2449195"/>
                          <a:ext cx="5991225" cy="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4.45pt;margin-top:16.6pt;height:0pt;width:471.75pt;z-index:251661312;mso-width-relative:page;mso-height-relative:page;" filled="f" stroked="t" coordsize="21600,21600" o:gfxdata="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jPYNoAAAAJAQAADwAAAAAAAAABACAAAAAiAAAAZHJzL2Rvd25yZXYueG1sUEsB&#10;AhQAFAAAAAgAh07iQKhJk07zAQAAvgMAAA4AAAAAAAAAAQAgAAAAKQEAAGRycy9lMm9Eb2MueG1s&#10;UEsFBgAAAAAGAAYAWQEAAI4FAAAAAA==&#10;">
                <v:fill on="f" focussize="0,0"/>
                <v:stroke weight="2.25pt" color="#FF0000 [3205]" miterlimit="8" joinstyle="miter"/>
                <v:imagedata o:title=""/>
                <o:lock v:ext="edit" aspectratio="f"/>
              </v:line>
            </w:pict>
          </mc:Fallback>
        </mc:AlternateContent>
      </w:r>
    </w:p>
    <w:p w14:paraId="272F3C29">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467F87CC">
      <w:pPr>
        <w:pStyle w:val="2"/>
        <w:rPr>
          <w:rFonts w:hint="eastAsia"/>
          <w:lang w:val="en-US" w:eastAsia="zh-CN"/>
        </w:rPr>
      </w:pPr>
    </w:p>
    <w:p w14:paraId="0F97B13D">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龙泉镇人民政府2023年度衔接及整合资金</w:t>
      </w:r>
    </w:p>
    <w:p w14:paraId="4B29BA75">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使用情况绩效自评总结</w:t>
      </w:r>
    </w:p>
    <w:p w14:paraId="33F3F8B1">
      <w:pPr>
        <w:pStyle w:val="11"/>
        <w:rPr>
          <w:rFonts w:hint="eastAsia" w:ascii="仿宋_GB2312" w:hAnsi="仿宋_GB2312" w:eastAsia="仿宋_GB2312" w:cs="仿宋_GB2312"/>
          <w:b w:val="0"/>
          <w:bCs w:val="0"/>
          <w:color w:val="auto"/>
          <w:sz w:val="32"/>
          <w:szCs w:val="32"/>
          <w:lang w:val="en-US" w:eastAsia="zh-CN"/>
        </w:rPr>
      </w:pPr>
    </w:p>
    <w:p w14:paraId="7422857F">
      <w:pPr>
        <w:pStyle w:val="1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71EEEBA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龙泉镇人民政府2023年度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6E8175E8">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4CA3E4A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Style w:val="15"/>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653.37053万元</w:t>
      </w:r>
      <w:r>
        <w:rPr>
          <w:rFonts w:hint="eastAsia" w:ascii="仿宋_GB2312" w:hAnsi="仿宋_GB2312" w:eastAsia="仿宋_GB2312" w:cs="仿宋_GB2312"/>
          <w:color w:val="000000"/>
          <w:spacing w:val="0"/>
          <w:w w:val="100"/>
          <w:position w:val="0"/>
          <w:sz w:val="32"/>
          <w:szCs w:val="32"/>
          <w:highlight w:val="none"/>
          <w:shd w:val="clear" w:color="auto" w:fill="auto"/>
          <w:lang w:eastAsia="zh-CN"/>
        </w:rPr>
        <w:t>（</w:t>
      </w: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rPr>
        <w:t>包括衔接资金61.52053万元</w:t>
      </w:r>
      <w:r>
        <w:rPr>
          <w:rFonts w:hint="eastAsia" w:ascii="仿宋_GB2312" w:hAnsi="仿宋_GB2312" w:eastAsia="仿宋_GB2312" w:cs="仿宋_GB2312"/>
          <w:color w:val="000000"/>
          <w:spacing w:val="0"/>
          <w:w w:val="100"/>
          <w:position w:val="0"/>
          <w:sz w:val="32"/>
          <w:szCs w:val="32"/>
          <w:highlight w:val="none"/>
          <w:shd w:val="clear" w:color="auto" w:fill="auto"/>
          <w:lang w:eastAsia="zh-CN"/>
        </w:rPr>
        <w:t>），</w:t>
      </w: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rPr>
        <w:t>实际下达586.77673万元</w:t>
      </w:r>
      <w:r>
        <w:rPr>
          <w:rFonts w:hint="eastAsia" w:ascii="仿宋_GB2312" w:hAnsi="仿宋_GB2312" w:eastAsia="仿宋_GB2312" w:cs="仿宋_GB2312"/>
          <w:color w:val="000000"/>
          <w:spacing w:val="0"/>
          <w:w w:val="100"/>
          <w:position w:val="0"/>
          <w:sz w:val="32"/>
          <w:szCs w:val="32"/>
          <w:highlight w:val="none"/>
          <w:shd w:val="clear" w:color="auto" w:fill="auto"/>
          <w:lang w:eastAsia="zh-CN"/>
        </w:rPr>
        <w:t>，</w:t>
      </w: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安排</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color w:val="auto"/>
          <w:sz w:val="32"/>
          <w:szCs w:val="32"/>
          <w:highlight w:val="none"/>
        </w:rPr>
        <w:t>其中产业项目</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资金480.85万</w:t>
      </w:r>
      <w:r>
        <w:rPr>
          <w:rFonts w:hint="eastAsia" w:ascii="仿宋_GB2312" w:hAnsi="仿宋_GB2312" w:eastAsia="仿宋_GB2312" w:cs="仿宋_GB2312"/>
          <w:color w:val="auto"/>
          <w:sz w:val="32"/>
          <w:szCs w:val="32"/>
          <w:lang w:val="en-US" w:eastAsia="zh-CN"/>
        </w:rPr>
        <w:t>元；基础设施建设项目1个，资金100万元；其他项目3个，资金21.02053万元。</w:t>
      </w:r>
      <w:r>
        <w:rPr>
          <w:rFonts w:hint="eastAsia" w:ascii="仿宋_GB2312" w:hAnsi="仿宋_GB2312" w:eastAsia="仿宋_GB2312" w:cs="仿宋_GB2312"/>
          <w:color w:val="auto"/>
          <w:sz w:val="32"/>
          <w:szCs w:val="32"/>
          <w:highlight w:val="none"/>
          <w:lang w:val="en-US" w:eastAsia="zh-CN"/>
        </w:rPr>
        <w:t>（按照《2023年度整合资金支出情况日调度表》截止2024年9月30日数据）</w:t>
      </w:r>
    </w:p>
    <w:p w14:paraId="069F4AD8">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425DA7EA">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39DE32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color w:val="auto"/>
          <w:spacing w:val="0"/>
          <w:w w:val="100"/>
          <w:kern w:val="0"/>
          <w:position w:val="0"/>
          <w:sz w:val="32"/>
          <w:szCs w:val="32"/>
          <w:highlight w:val="none"/>
          <w:lang w:val="en-US" w:eastAsia="zh-CN" w:bidi="ar"/>
        </w:rPr>
        <w:t>我单位及时解决项目推进过程中出现的各类问题。</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68AD8B54">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0F8885D2">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07F5134C">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08215E75">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37A17CC7">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red"/>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w:t>
      </w: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rPr>
        <w:t>586.77673</w:t>
      </w:r>
      <w:r>
        <w:rPr>
          <w:rFonts w:hint="eastAsia" w:ascii="仿宋_GB2312" w:hAnsi="仿宋_GB2312" w:eastAsia="仿宋_GB2312" w:cs="仿宋_GB2312"/>
          <w:color w:val="auto"/>
          <w:spacing w:val="0"/>
          <w:w w:val="100"/>
          <w:position w:val="0"/>
          <w:sz w:val="32"/>
          <w:szCs w:val="32"/>
          <w:highlight w:val="none"/>
          <w:lang w:val="en-US" w:eastAsia="zh-CN"/>
        </w:rPr>
        <w:t>万元，截止2024年5月31日，实际支出完成97%。</w:t>
      </w:r>
    </w:p>
    <w:p w14:paraId="4F9CCBFC">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53492960">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p>
    <w:p w14:paraId="1BE249CE">
      <w:pPr>
        <w:numPr>
          <w:ilvl w:val="0"/>
          <w:numId w:val="0"/>
        </w:numPr>
        <w:ind w:firstLine="643"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（1）龙泉镇南阳村农业一体化产业圈项目。</w:t>
      </w:r>
      <w:r>
        <w:rPr>
          <w:rFonts w:hint="eastAsia" w:ascii="仿宋_GB2312" w:hAnsi="仿宋_GB2312" w:eastAsia="仿宋_GB2312" w:cs="仿宋_GB2312"/>
          <w:b w:val="0"/>
          <w:bCs w:val="0"/>
          <w:color w:val="auto"/>
          <w:kern w:val="2"/>
          <w:sz w:val="32"/>
          <w:szCs w:val="32"/>
          <w:lang w:val="en-US" w:eastAsia="zh-CN" w:bidi="ar-SA"/>
        </w:rPr>
        <w:t>该项目总投资197万元，本年度安排112万元。项目围绕中草药，食用菌，酒等，建设产品加工、展销、直播一体的作坊，与吉林省乡村振兴促进会合作，由促进会运营。乡村振兴促进会每年给予9.85万元固定分红，作为南阳村的集体经济收入。装修改造430平方米，本年完成完成工程量的60%；经村民代表大会通过，有偿征用闲置民房3处，产权归属村集体所有。</w:t>
      </w:r>
    </w:p>
    <w:p w14:paraId="1EB8B376">
      <w:pPr>
        <w:numPr>
          <w:ilvl w:val="0"/>
          <w:numId w:val="0"/>
        </w:numPr>
        <w:ind w:firstLine="643"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SA"/>
        </w:rPr>
        <w:t>（2）靖宇县单家福蛋类经销有限公司（分厂）建设项目。</w:t>
      </w:r>
      <w:r>
        <w:rPr>
          <w:rFonts w:hint="eastAsia" w:ascii="仿宋_GB2312" w:hAnsi="仿宋_GB2312" w:eastAsia="仿宋_GB2312" w:cs="仿宋_GB2312"/>
          <w:b w:val="0"/>
          <w:bCs w:val="0"/>
          <w:color w:val="auto"/>
          <w:kern w:val="2"/>
          <w:sz w:val="32"/>
          <w:szCs w:val="32"/>
          <w:lang w:val="en-US" w:eastAsia="zh-CN" w:bidi="ar-SA"/>
        </w:rPr>
        <w:t>该项目为两年项目，共</w:t>
      </w:r>
      <w:r>
        <w:rPr>
          <w:rFonts w:hint="eastAsia" w:ascii="仿宋_GB2312" w:hAnsi="仿宋_GB2312" w:eastAsia="仿宋_GB2312" w:cs="仿宋_GB2312"/>
          <w:color w:val="auto"/>
          <w:spacing w:val="0"/>
          <w:w w:val="100"/>
          <w:kern w:val="0"/>
          <w:position w:val="0"/>
          <w:sz w:val="32"/>
          <w:szCs w:val="32"/>
          <w:highlight w:val="none"/>
          <w:lang w:val="en-US" w:eastAsia="zh-CN" w:bidi="ar"/>
        </w:rPr>
        <w:t>使用整合资金955.55万元，2023年使用资金185.55万元。靖宇县单家福蛋类经销有限公司每年按政府投资额5%给予分红，作为村集体经济收入，每年48.5万元。靖宇县单家福蛋类经销有限公司可以解决20人就业，其中脱贫户至少10人。</w:t>
      </w:r>
    </w:p>
    <w:p w14:paraId="75D29874">
      <w:pPr>
        <w:numPr>
          <w:ilvl w:val="0"/>
          <w:numId w:val="0"/>
        </w:num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（3）龙泉镇龙东村烘干厂建设项目。</w:t>
      </w:r>
      <w:r>
        <w:rPr>
          <w:rFonts w:hint="eastAsia" w:ascii="仿宋" w:hAnsi="仿宋" w:eastAsia="仿宋" w:cs="仿宋"/>
          <w:sz w:val="32"/>
          <w:szCs w:val="32"/>
          <w:lang w:val="en-US" w:eastAsia="zh-CN"/>
        </w:rPr>
        <w:t>镇政府申请整合资金</w:t>
      </w:r>
      <w:r>
        <w:rPr>
          <w:rFonts w:hint="eastAsia" w:ascii="仿宋_GB2312" w:hAnsi="仿宋_GB2312" w:eastAsia="仿宋_GB2312" w:cs="仿宋_GB2312"/>
          <w:color w:val="auto"/>
          <w:spacing w:val="0"/>
          <w:w w:val="100"/>
          <w:kern w:val="0"/>
          <w:position w:val="0"/>
          <w:sz w:val="32"/>
          <w:szCs w:val="32"/>
          <w:highlight w:val="none"/>
          <w:lang w:val="en-US" w:eastAsia="zh-CN" w:bidi="ar"/>
        </w:rPr>
        <w:t>70万</w:t>
      </w:r>
      <w:r>
        <w:rPr>
          <w:rFonts w:hint="eastAsia" w:ascii="仿宋" w:hAnsi="仿宋" w:eastAsia="仿宋" w:cs="仿宋"/>
          <w:sz w:val="32"/>
          <w:szCs w:val="32"/>
          <w:lang w:val="en-US" w:eastAsia="zh-CN"/>
        </w:rPr>
        <w:t>元实施龙泉镇龙东村烘干厂建设项目，建设厂房、购置安装烘干设备租赁给吉林省通亚商贸有限责任公司。政府申请整合资金建设厂房585平方米，购置安装烘干设备，租赁给吉林省通亚商贸有限责任公司，通亚商贸公司自主经营。吉林省通亚商贸有限责任公司每年按政府投资额5%给予分红，作为村集体经济收入，每年3.5万元。</w:t>
      </w:r>
    </w:p>
    <w:p w14:paraId="7AD43356">
      <w:pPr>
        <w:numPr>
          <w:ilvl w:val="0"/>
          <w:numId w:val="0"/>
        </w:num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（4）龙泉镇因户施策庭院经济项目。</w:t>
      </w:r>
      <w:r>
        <w:rPr>
          <w:rFonts w:hint="eastAsia" w:ascii="仿宋" w:hAnsi="仿宋" w:eastAsia="仿宋" w:cs="仿宋"/>
          <w:sz w:val="32"/>
          <w:szCs w:val="32"/>
          <w:lang w:val="en-US" w:eastAsia="zh-CN"/>
        </w:rPr>
        <w:t>今年实施因户施策共121户、192人，涉及贝母一个种植品种，涉及补助资金38.4万。</w:t>
      </w:r>
    </w:p>
    <w:p w14:paraId="73E6311C">
      <w:pPr>
        <w:numPr>
          <w:ilvl w:val="0"/>
          <w:numId w:val="0"/>
        </w:num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（5）龙泉镇以奖代补庭院经济项目。</w:t>
      </w:r>
      <w:r>
        <w:rPr>
          <w:rFonts w:hint="eastAsia" w:ascii="仿宋" w:hAnsi="仿宋" w:eastAsia="仿宋" w:cs="仿宋"/>
          <w:sz w:val="32"/>
          <w:szCs w:val="32"/>
          <w:lang w:val="en-US" w:eastAsia="zh-CN"/>
        </w:rPr>
        <w:t>“以奖代补”项目涉及种养殖品种10项，种植业项目有贝母、黑木耳、人参、天麻、红小豆等5个品种，养殖业项目有鹿、蜜蜂、牛、羊、猪5个品种，涉及9个行政村脱贫人口208户307人，人均“以奖代补”资金不超过2000元，补助资金60.45万元。</w:t>
      </w:r>
    </w:p>
    <w:p w14:paraId="7B18A774">
      <w:pPr>
        <w:numPr>
          <w:ilvl w:val="0"/>
          <w:numId w:val="0"/>
        </w:numPr>
        <w:ind w:firstLine="643" w:firstLineChars="200"/>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2.基础设施建设项目。</w:t>
      </w:r>
    </w:p>
    <w:p w14:paraId="58627D8B">
      <w:pPr>
        <w:numPr>
          <w:ilvl w:val="0"/>
          <w:numId w:val="0"/>
        </w:numPr>
        <w:ind w:firstLine="643" w:firstLineChars="200"/>
        <w:jc w:val="lef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（1）靖宇县龙泉镇梨树村示范创建项目。</w:t>
      </w:r>
      <w:r>
        <w:rPr>
          <w:rFonts w:hint="default" w:ascii="仿宋_GB2312" w:hAnsi="仿宋_GB2312" w:eastAsia="仿宋_GB2312" w:cs="仿宋_GB2312"/>
          <w:b w:val="0"/>
          <w:bCs w:val="0"/>
          <w:color w:val="auto"/>
          <w:kern w:val="2"/>
          <w:sz w:val="32"/>
          <w:szCs w:val="32"/>
          <w:lang w:val="en-US" w:eastAsia="zh-CN" w:bidi="ar-SA"/>
        </w:rPr>
        <w:t>年度计划总投资</w:t>
      </w:r>
      <w:r>
        <w:rPr>
          <w:rFonts w:hint="default" w:ascii="仿宋_GB2312" w:hAnsi="仿宋_GB2312" w:eastAsia="仿宋_GB2312" w:cs="仿宋_GB2312"/>
          <w:color w:val="auto"/>
          <w:spacing w:val="0"/>
          <w:w w:val="100"/>
          <w:kern w:val="0"/>
          <w:position w:val="0"/>
          <w:sz w:val="32"/>
          <w:szCs w:val="32"/>
          <w:highlight w:val="none"/>
          <w:lang w:val="en-US" w:eastAsia="zh-CN" w:bidi="ar"/>
        </w:rPr>
        <w:t>100万</w:t>
      </w:r>
      <w:r>
        <w:rPr>
          <w:rFonts w:hint="default" w:ascii="仿宋_GB2312" w:hAnsi="仿宋_GB2312" w:eastAsia="仿宋_GB2312" w:cs="仿宋_GB2312"/>
          <w:b w:val="0"/>
          <w:bCs w:val="0"/>
          <w:color w:val="auto"/>
          <w:kern w:val="2"/>
          <w:sz w:val="32"/>
          <w:szCs w:val="32"/>
          <w:lang w:val="en-US" w:eastAsia="zh-CN" w:bidi="ar-SA"/>
        </w:rPr>
        <w:t>元，建设内容:新建防护性围栏1569米，保障自然环境，提高生活质量。</w:t>
      </w:r>
    </w:p>
    <w:p w14:paraId="79E4D6E2">
      <w:pPr>
        <w:numPr>
          <w:ilvl w:val="0"/>
          <w:numId w:val="0"/>
        </w:numPr>
        <w:ind w:firstLine="643" w:firstLineChars="200"/>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3.其他项目。</w:t>
      </w:r>
    </w:p>
    <w:p w14:paraId="4C3AD369">
      <w:pPr>
        <w:numPr>
          <w:ilvl w:val="0"/>
          <w:numId w:val="0"/>
        </w:num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（1）龙泉镇2023年春、秋季雨露计划项目。</w:t>
      </w:r>
      <w:r>
        <w:rPr>
          <w:rFonts w:hint="eastAsia" w:ascii="仿宋" w:hAnsi="仿宋" w:eastAsia="仿宋" w:cs="仿宋"/>
          <w:sz w:val="32"/>
          <w:szCs w:val="32"/>
          <w:lang w:val="en-US" w:eastAsia="zh-CN"/>
        </w:rPr>
        <w:t>针对建档立卡脱贫户中有就读中专、大专、职高、技校等家庭的子女，实施“雨露计划”资助政策，2023年我镇春季共有19人符合雨露计划标准，每人每学期1500元，发放补助资金2.85万，秋季共有14人符合雨露计划标准，每人每学期1500元，发放补助资金2.1万。</w:t>
      </w:r>
    </w:p>
    <w:p w14:paraId="4CC962A6">
      <w:pPr>
        <w:numPr>
          <w:ilvl w:val="0"/>
          <w:numId w:val="0"/>
        </w:num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（2）龙泉镇外出务工一次性往返交通补助。</w:t>
      </w:r>
      <w:r>
        <w:rPr>
          <w:rFonts w:hint="eastAsia" w:ascii="仿宋" w:hAnsi="仿宋" w:eastAsia="仿宋" w:cs="仿宋"/>
          <w:sz w:val="32"/>
          <w:szCs w:val="32"/>
          <w:lang w:val="en-US" w:eastAsia="zh-CN"/>
        </w:rPr>
        <w:t>为全镇脱贫人口及监测对象给予一次性外出务工往返交通补助，减轻外出务工脱贫人口及监测对象的交通压力。2023年外出务工一次性往返交通补助共补贴两次，共有37人符合补贴标准，共计发放1.07053万元。</w:t>
      </w:r>
    </w:p>
    <w:p w14:paraId="0B6A4944">
      <w:pPr>
        <w:pStyle w:val="2"/>
        <w:ind w:firstLine="643" w:firstLineChars="200"/>
        <w:rPr>
          <w:rFonts w:hint="default" w:eastAsia="仿宋_GB2312"/>
          <w:lang w:val="en-US" w:eastAsia="zh-CN"/>
        </w:rPr>
      </w:pP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靖宇县示范村村庄规划编制费。</w:t>
      </w:r>
      <w:r>
        <w:rPr>
          <w:rFonts w:hint="eastAsia" w:ascii="仿宋_GB2312" w:hAnsi="仿宋_GB2312" w:eastAsia="仿宋_GB2312" w:cs="仿宋_GB2312"/>
          <w:b w:val="0"/>
          <w:bCs w:val="0"/>
          <w:color w:val="auto"/>
          <w:kern w:val="2"/>
          <w:sz w:val="32"/>
          <w:szCs w:val="32"/>
          <w:lang w:val="en-US" w:eastAsia="zh-CN" w:bidi="ar-SA"/>
        </w:rPr>
        <w:t>年度计划投资</w:t>
      </w:r>
      <w:r>
        <w:rPr>
          <w:rFonts w:hint="eastAsia" w:ascii="仿宋_GB2312" w:hAnsi="仿宋_GB2312" w:eastAsia="仿宋_GB2312" w:cs="仿宋_GB2312"/>
          <w:color w:val="auto"/>
          <w:spacing w:val="0"/>
          <w:w w:val="100"/>
          <w:kern w:val="0"/>
          <w:position w:val="0"/>
          <w:sz w:val="32"/>
          <w:szCs w:val="32"/>
          <w:highlight w:val="none"/>
          <w:lang w:val="en-US" w:eastAsia="zh-CN" w:bidi="ar"/>
        </w:rPr>
        <w:t>15</w:t>
      </w:r>
      <w:r>
        <w:rPr>
          <w:rFonts w:hint="eastAsia" w:ascii="仿宋_GB2312" w:hAnsi="仿宋_GB2312" w:eastAsia="仿宋_GB2312" w:cs="仿宋_GB2312"/>
          <w:b w:val="0"/>
          <w:bCs w:val="0"/>
          <w:color w:val="auto"/>
          <w:kern w:val="2"/>
          <w:sz w:val="32"/>
          <w:szCs w:val="32"/>
          <w:lang w:val="en-US" w:eastAsia="zh-CN" w:bidi="ar-SA"/>
        </w:rPr>
        <w:t>万元建设内容：梨树村、龙西村、南阳村三个村村庄规划编制费。</w:t>
      </w:r>
    </w:p>
    <w:p w14:paraId="22820801">
      <w:pPr>
        <w:pStyle w:val="2"/>
        <w:numPr>
          <w:ilvl w:val="0"/>
          <w:numId w:val="0"/>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14:paraId="7D907B6F">
      <w:pPr>
        <w:pStyle w:val="2"/>
        <w:numPr>
          <w:ilvl w:val="0"/>
          <w:numId w:val="0"/>
        </w:numPr>
        <w:ind w:firstLine="643"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龙泉镇以奖代补庭院经济项目</w:t>
      </w:r>
      <w:r>
        <w:rPr>
          <w:rFonts w:hint="eastAsia" w:ascii="仿宋_GB2312" w:hAnsi="仿宋_GB2312" w:eastAsia="仿宋_GB2312" w:cs="仿宋_GB2312"/>
          <w:b w:val="0"/>
          <w:bCs w:val="0"/>
          <w:color w:val="auto"/>
          <w:kern w:val="2"/>
          <w:sz w:val="32"/>
          <w:szCs w:val="32"/>
          <w:lang w:val="en-US" w:eastAsia="zh-CN" w:bidi="ar-SA"/>
        </w:rPr>
        <w:t>：农户年初预申报数量与实际发展数量有差距，导致预算与实际发展数量相差。</w:t>
      </w:r>
    </w:p>
    <w:p w14:paraId="0F8E9415">
      <w:pPr>
        <w:pStyle w:val="2"/>
        <w:numPr>
          <w:ilvl w:val="0"/>
          <w:numId w:val="0"/>
        </w:numPr>
        <w:ind w:firstLine="643" w:firstLineChars="200"/>
        <w:rPr>
          <w:rFonts w:hint="default" w:ascii="黑体" w:hAnsi="黑体" w:eastAsia="黑体" w:cs="黑体"/>
          <w:color w:val="FF0000"/>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龙泉镇2023年春、秋季雨露计划项目</w:t>
      </w:r>
      <w:r>
        <w:rPr>
          <w:rFonts w:hint="eastAsia" w:ascii="仿宋_GB2312" w:hAnsi="仿宋_GB2312" w:eastAsia="仿宋_GB2312" w:cs="仿宋_GB2312"/>
          <w:b w:val="0"/>
          <w:bCs w:val="0"/>
          <w:color w:val="auto"/>
          <w:kern w:val="2"/>
          <w:sz w:val="32"/>
          <w:szCs w:val="32"/>
          <w:lang w:val="en-US" w:eastAsia="zh-CN" w:bidi="ar-SA"/>
        </w:rPr>
        <w:t>：因年初申报预算人数与实际申报人数有差距，职业教育学校学生减少，导致数据偏差。</w:t>
      </w:r>
    </w:p>
    <w:p w14:paraId="52A0C70F">
      <w:pPr>
        <w:pStyle w:val="2"/>
        <w:numPr>
          <w:ilvl w:val="0"/>
          <w:numId w:val="0"/>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五、整改措施</w:t>
      </w:r>
    </w:p>
    <w:p w14:paraId="41CDAFDE">
      <w:pPr>
        <w:pStyle w:val="2"/>
        <w:numPr>
          <w:ilvl w:val="0"/>
          <w:numId w:val="0"/>
        </w:numPr>
        <w:ind w:firstLine="643"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龙泉镇以奖代补庭院经济项目</w:t>
      </w:r>
      <w:r>
        <w:rPr>
          <w:rFonts w:hint="eastAsia" w:ascii="仿宋_GB2312" w:hAnsi="仿宋_GB2312" w:eastAsia="仿宋_GB2312" w:cs="仿宋_GB2312"/>
          <w:b w:val="0"/>
          <w:bCs w:val="0"/>
          <w:color w:val="auto"/>
          <w:kern w:val="2"/>
          <w:sz w:val="32"/>
          <w:szCs w:val="32"/>
          <w:lang w:val="en-US" w:eastAsia="zh-CN" w:bidi="ar-SA"/>
        </w:rPr>
        <w:t>：今后根据预发展情况做好预算。</w:t>
      </w:r>
    </w:p>
    <w:p w14:paraId="17F0E4CB">
      <w:pPr>
        <w:pStyle w:val="2"/>
        <w:numPr>
          <w:ilvl w:val="0"/>
          <w:numId w:val="0"/>
        </w:num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龙泉镇2023年春、秋季雨露计划项目</w:t>
      </w:r>
      <w:r>
        <w:rPr>
          <w:rFonts w:hint="eastAsia" w:ascii="仿宋_GB2312" w:hAnsi="仿宋_GB2312" w:eastAsia="仿宋_GB2312" w:cs="仿宋_GB2312"/>
          <w:b w:val="0"/>
          <w:bCs w:val="0"/>
          <w:color w:val="auto"/>
          <w:kern w:val="2"/>
          <w:sz w:val="32"/>
          <w:szCs w:val="32"/>
          <w:lang w:val="en-US" w:eastAsia="zh-CN" w:bidi="ar-SA"/>
        </w:rPr>
        <w:t>：今后将进一步推进预算精细化管理，确保今后预算数据准确。</w:t>
      </w:r>
    </w:p>
    <w:p w14:paraId="48EE441D">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43B85422">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在衔接及整合资金项目管理方面，</w:t>
      </w:r>
      <w:r>
        <w:rPr>
          <w:rFonts w:hint="eastAsia" w:ascii="仿宋_GB2312" w:hAnsi="仿宋_GB2312" w:eastAsia="仿宋_GB2312" w:cs="仿宋_GB2312"/>
          <w:sz w:val="32"/>
          <w:szCs w:val="32"/>
          <w:lang w:val="en-US" w:eastAsia="zh-CN"/>
        </w:rPr>
        <w:t>项目资金由财政所派专人管理，做到专款专用、专人管理。项目资金如有结余做退回财政处理，不挪做他用。</w:t>
      </w:r>
    </w:p>
    <w:p w14:paraId="660CB4EA">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在示范村创建方面，</w:t>
      </w:r>
      <w:r>
        <w:rPr>
          <w:rFonts w:hint="eastAsia" w:ascii="仿宋_GB2312" w:hAnsi="仿宋_GB2312" w:eastAsia="仿宋_GB2312" w:cs="仿宋_GB2312"/>
          <w:sz w:val="32"/>
          <w:szCs w:val="32"/>
          <w:lang w:val="en-US" w:eastAsia="zh-CN"/>
        </w:rPr>
        <w:t>坚持便民利民原则，</w:t>
      </w:r>
      <w:r>
        <w:rPr>
          <w:rFonts w:hint="eastAsia" w:ascii="仿宋_GB2312" w:hAnsi="仿宋_GB2312" w:eastAsia="仿宋_GB2312" w:cs="仿宋_GB2312"/>
          <w:color w:val="auto"/>
          <w:kern w:val="2"/>
          <w:sz w:val="32"/>
          <w:szCs w:val="32"/>
          <w:lang w:val="en-US" w:eastAsia="zh-CN" w:bidi="ar-SA"/>
        </w:rPr>
        <w:t>进一步</w:t>
      </w:r>
      <w:r>
        <w:rPr>
          <w:rFonts w:hint="eastAsia" w:ascii="仿宋" w:hAnsi="仿宋" w:eastAsia="仿宋" w:cs="仿宋"/>
          <w:sz w:val="32"/>
          <w:szCs w:val="32"/>
          <w:lang w:val="en-US" w:eastAsia="zh-CN"/>
        </w:rPr>
        <w:t>带动农村经济发展，促进农民增收致富，规范收益使用方向。</w:t>
      </w:r>
      <w:r>
        <w:rPr>
          <w:rFonts w:hint="eastAsia" w:ascii="仿宋_GB2312" w:hAnsi="仿宋_GB2312" w:eastAsia="仿宋_GB2312" w:cs="仿宋_GB2312"/>
          <w:sz w:val="32"/>
          <w:szCs w:val="32"/>
          <w:lang w:val="en-US" w:eastAsia="zh-CN"/>
        </w:rPr>
        <w:t>保障实用性又提高观赏性，在量变的积累后实现质的飞跃。</w:t>
      </w:r>
    </w:p>
    <w:p w14:paraId="5A7EFB4C">
      <w:pPr>
        <w:pStyle w:val="2"/>
        <w:ind w:left="0" w:leftChars="0" w:firstLine="0" w:firstLineChars="0"/>
        <w:rPr>
          <w:rFonts w:hint="eastAsia" w:ascii="仿宋_GB2312" w:hAnsi="仿宋_GB2312" w:eastAsia="仿宋_GB2312" w:cs="仿宋_GB2312"/>
          <w:color w:val="auto"/>
          <w:kern w:val="2"/>
          <w:sz w:val="32"/>
          <w:szCs w:val="32"/>
          <w:lang w:val="en-US" w:eastAsia="zh-CN" w:bidi="ar-SA"/>
        </w:rPr>
      </w:pPr>
    </w:p>
    <w:p w14:paraId="03E25C12">
      <w:pPr>
        <w:pStyle w:val="2"/>
        <w:jc w:val="left"/>
        <w:rPr>
          <w:rFonts w:hint="eastAsia" w:ascii="仿宋_GB2312" w:hAnsi="仿宋_GB2312" w:eastAsia="仿宋_GB2312" w:cs="仿宋_GB2312"/>
          <w:color w:val="auto"/>
          <w:kern w:val="2"/>
          <w:sz w:val="32"/>
          <w:szCs w:val="32"/>
          <w:lang w:val="en-US" w:eastAsia="zh-CN" w:bidi="ar-SA"/>
        </w:rPr>
      </w:pPr>
    </w:p>
    <w:p w14:paraId="6DEB7220">
      <w:pPr>
        <w:pStyle w:val="2"/>
        <w:ind w:left="4799" w:leftChars="152" w:hanging="4480" w:hangingChars="14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靖宇县龙泉镇人民政府                       </w:t>
      </w:r>
      <w:bookmarkStart w:id="0" w:name="_GoBack"/>
      <w:bookmarkEnd w:id="0"/>
      <w:r>
        <w:rPr>
          <w:rFonts w:hint="eastAsia" w:ascii="仿宋_GB2312" w:hAnsi="仿宋_GB2312" w:eastAsia="仿宋_GB2312" w:cs="仿宋_GB2312"/>
          <w:color w:val="auto"/>
          <w:kern w:val="2"/>
          <w:sz w:val="32"/>
          <w:szCs w:val="32"/>
          <w:lang w:val="en-US" w:eastAsia="zh-CN" w:bidi="ar-SA"/>
        </w:rPr>
        <w:t>2024年9月30日</w:t>
      </w:r>
    </w:p>
    <w:p w14:paraId="1804235E">
      <w:pPr>
        <w:numPr>
          <w:ilvl w:val="0"/>
          <w:numId w:val="0"/>
        </w:numPr>
        <w:ind w:firstLine="640" w:firstLineChars="200"/>
        <w:jc w:val="righ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767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37E0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B37E0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kyYjY0ZTA3ODgwNWYzMDIyZDIyZDZjMjU5MGYifQ=="/>
  </w:docVars>
  <w:rsids>
    <w:rsidRoot w:val="00000000"/>
    <w:rsid w:val="00A46138"/>
    <w:rsid w:val="028E382A"/>
    <w:rsid w:val="02956D77"/>
    <w:rsid w:val="04035DD2"/>
    <w:rsid w:val="046E52E4"/>
    <w:rsid w:val="04801CC7"/>
    <w:rsid w:val="04A13B9C"/>
    <w:rsid w:val="064562B0"/>
    <w:rsid w:val="07923E6C"/>
    <w:rsid w:val="07C80D7C"/>
    <w:rsid w:val="07F81539"/>
    <w:rsid w:val="08DF02AB"/>
    <w:rsid w:val="095124AF"/>
    <w:rsid w:val="098F6313"/>
    <w:rsid w:val="09CA6D90"/>
    <w:rsid w:val="0B563E1A"/>
    <w:rsid w:val="0B726A4D"/>
    <w:rsid w:val="0D054530"/>
    <w:rsid w:val="0F9067A2"/>
    <w:rsid w:val="10C76C14"/>
    <w:rsid w:val="10E62F94"/>
    <w:rsid w:val="11E30749"/>
    <w:rsid w:val="12B502CE"/>
    <w:rsid w:val="15F106C0"/>
    <w:rsid w:val="161F0C76"/>
    <w:rsid w:val="16A826DC"/>
    <w:rsid w:val="171B30F9"/>
    <w:rsid w:val="18D503A7"/>
    <w:rsid w:val="1C752FA8"/>
    <w:rsid w:val="1D80337E"/>
    <w:rsid w:val="1F953961"/>
    <w:rsid w:val="20376F70"/>
    <w:rsid w:val="203F4621"/>
    <w:rsid w:val="205E01F7"/>
    <w:rsid w:val="24ED3F6E"/>
    <w:rsid w:val="2690489B"/>
    <w:rsid w:val="26B80661"/>
    <w:rsid w:val="288F41F4"/>
    <w:rsid w:val="28F31788"/>
    <w:rsid w:val="29973107"/>
    <w:rsid w:val="29DB01C2"/>
    <w:rsid w:val="2B5135D5"/>
    <w:rsid w:val="2BB16660"/>
    <w:rsid w:val="2BC93C0E"/>
    <w:rsid w:val="2D056B20"/>
    <w:rsid w:val="2FD91648"/>
    <w:rsid w:val="301B2C40"/>
    <w:rsid w:val="33DD5D26"/>
    <w:rsid w:val="33F464A6"/>
    <w:rsid w:val="36693F11"/>
    <w:rsid w:val="371563A4"/>
    <w:rsid w:val="3868554E"/>
    <w:rsid w:val="3A267443"/>
    <w:rsid w:val="3B3600AF"/>
    <w:rsid w:val="3C8F44D4"/>
    <w:rsid w:val="3E597C5F"/>
    <w:rsid w:val="3EA034A1"/>
    <w:rsid w:val="3EEF72A4"/>
    <w:rsid w:val="401F2910"/>
    <w:rsid w:val="409D5461"/>
    <w:rsid w:val="427C6402"/>
    <w:rsid w:val="43046A7E"/>
    <w:rsid w:val="43F500B0"/>
    <w:rsid w:val="44536874"/>
    <w:rsid w:val="468A7978"/>
    <w:rsid w:val="47486892"/>
    <w:rsid w:val="49583B27"/>
    <w:rsid w:val="4D4C4DB0"/>
    <w:rsid w:val="4FFB486F"/>
    <w:rsid w:val="5043249A"/>
    <w:rsid w:val="50F021EC"/>
    <w:rsid w:val="51636509"/>
    <w:rsid w:val="51D30376"/>
    <w:rsid w:val="523807BA"/>
    <w:rsid w:val="54224ABC"/>
    <w:rsid w:val="562C3EB6"/>
    <w:rsid w:val="568E7FC0"/>
    <w:rsid w:val="59197F62"/>
    <w:rsid w:val="59DB6D12"/>
    <w:rsid w:val="5BEA2363"/>
    <w:rsid w:val="5C635E0D"/>
    <w:rsid w:val="5D7E2D63"/>
    <w:rsid w:val="5E2E29DB"/>
    <w:rsid w:val="60FB78B8"/>
    <w:rsid w:val="623A3138"/>
    <w:rsid w:val="6408210E"/>
    <w:rsid w:val="66934C5F"/>
    <w:rsid w:val="68C80CA8"/>
    <w:rsid w:val="69F97106"/>
    <w:rsid w:val="6A822285"/>
    <w:rsid w:val="6C3B62C3"/>
    <w:rsid w:val="6C7B0BA6"/>
    <w:rsid w:val="6CDF30F3"/>
    <w:rsid w:val="6D9A6A8F"/>
    <w:rsid w:val="6DA94052"/>
    <w:rsid w:val="6EDE64ED"/>
    <w:rsid w:val="705949D0"/>
    <w:rsid w:val="72C20189"/>
    <w:rsid w:val="730E1012"/>
    <w:rsid w:val="73311046"/>
    <w:rsid w:val="74CB56C9"/>
    <w:rsid w:val="74D252CE"/>
    <w:rsid w:val="76B63B2B"/>
    <w:rsid w:val="78276D39"/>
    <w:rsid w:val="79BE0C60"/>
    <w:rsid w:val="79D35A74"/>
    <w:rsid w:val="7DAE537A"/>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Body Text Indent"/>
    <w:basedOn w:val="1"/>
    <w:next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11">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uiPriority w:val="0"/>
    <w:rPr>
      <w:b/>
    </w:rPr>
  </w:style>
  <w:style w:type="paragraph" w:customStyle="1" w:styleId="16">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7">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2155</Words>
  <Characters>2335</Characters>
  <Lines>0</Lines>
  <Paragraphs>0</Paragraphs>
  <TotalTime>6</TotalTime>
  <ScaleCrop>false</ScaleCrop>
  <LinksUpToDate>false</LinksUpToDate>
  <CharactersWithSpaces>2389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王鹏博</cp:lastModifiedBy>
  <cp:lastPrinted>2022-05-07T01:54:00Z</cp:lastPrinted>
  <dcterms:modified xsi:type="dcterms:W3CDTF">2024-10-12T01:45:41Z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52116E7417FA4C31B96CFC62A8BF1FAE_13</vt:lpwstr>
  </property>
</Properties>
</file>