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A231A">
      <w:pPr>
        <w:pStyle w:val="2"/>
        <w:ind w:left="0" w:leftChars="0" w:firstLine="0" w:firstLineChars="0"/>
        <w:rPr>
          <w:rFonts w:hint="eastAsia" w:ascii="宋体" w:hAnsi="宋体" w:eastAsia="宋体" w:cs="宋体"/>
          <w:b w:val="0"/>
          <w:bCs w:val="0"/>
          <w:color w:val="auto"/>
          <w:sz w:val="28"/>
          <w:szCs w:val="28"/>
          <w:lang w:val="en-US" w:eastAsia="zh-CN"/>
        </w:rPr>
      </w:pPr>
    </w:p>
    <w:p w14:paraId="5DE21652">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宋体" w:hAnsi="宋体" w:eastAsia="宋体" w:cs="宋体"/>
          <w:b/>
          <w:bCs/>
          <w:sz w:val="20"/>
        </w:rPr>
        <w:pict>
          <v:shape id="_x0000_s1026" o:spid="_x0000_s1026" o:spt="136" type="#_x0000_t136" style="position:absolute;left:0pt;margin-left:0.3pt;margin-top:23.55pt;height:65.05pt;width:418.5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XX镇（乡）人民政府&#10;" style="font-family:宋体;font-size:48pt;v-rotate-letters:f;v-same-letter-heights:f;v-text-align:center;v-text-spacing:85197f;"/>
          </v:shape>
        </w:pict>
      </w:r>
    </w:p>
    <w:p w14:paraId="25D76C4D">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14:paraId="5CB80044">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14:paraId="0562259C">
      <w:pPr>
        <w:pStyle w:val="2"/>
        <w:rPr>
          <w:rFonts w:hint="eastAsia"/>
          <w:lang w:val="en-US" w:eastAsia="zh-CN"/>
        </w:rPr>
      </w:pPr>
      <w:r>
        <w:rPr>
          <w:sz w:val="36"/>
        </w:rPr>
        <mc:AlternateContent>
          <mc:Choice Requires="wps">
            <w:drawing>
              <wp:anchor distT="0" distB="0" distL="114300" distR="114300" simplePos="0" relativeHeight="251661312" behindDoc="0" locked="0" layoutInCell="1" allowOverlap="1">
                <wp:simplePos x="0" y="0"/>
                <wp:positionH relativeFrom="column">
                  <wp:posOffset>-310515</wp:posOffset>
                </wp:positionH>
                <wp:positionV relativeFrom="paragraph">
                  <wp:posOffset>210820</wp:posOffset>
                </wp:positionV>
                <wp:extent cx="5991225" cy="0"/>
                <wp:effectExtent l="0" t="13970" r="9525" b="24130"/>
                <wp:wrapNone/>
                <wp:docPr id="2" name="直接连接符 2"/>
                <wp:cNvGraphicFramePr/>
                <a:graphic xmlns:a="http://schemas.openxmlformats.org/drawingml/2006/main">
                  <a:graphicData uri="http://schemas.microsoft.com/office/word/2010/wordprocessingShape">
                    <wps:wsp>
                      <wps:cNvCnPr/>
                      <wps:spPr>
                        <a:xfrm>
                          <a:off x="1223010" y="2449195"/>
                          <a:ext cx="5991225" cy="0"/>
                        </a:xfrm>
                        <a:prstGeom prst="line">
                          <a:avLst/>
                        </a:prstGeom>
                        <a:ln w="28575" cmpd="sng">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4.45pt;margin-top:16.6pt;height:0pt;width:471.75pt;z-index:251661312;mso-width-relative:page;mso-height-relative:page;" filled="f" stroked="t" coordsize="21600,21600" o:gfxdata="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ZjPYNoAAAAJAQAADwAAAAAAAAABACAAAAAiAAAAZHJzL2Rvd25yZXYueG1sUEsB&#10;AhQAFAAAAAgAh07iQKhJk07zAQAAvgMAAA4AAAAAAAAAAQAgAAAAKQEAAGRycy9lMm9Eb2MueG1s&#10;UEsFBgAAAAAGAAYAWQEAAI4FAAAAAA==&#10;">
                <v:fill on="f" focussize="0,0"/>
                <v:stroke weight="2.25pt" color="#FF0000 [3205]" miterlimit="8" joinstyle="miter"/>
                <v:imagedata o:title=""/>
                <o:lock v:ext="edit" aspectratio="f"/>
              </v:line>
            </w:pict>
          </mc:Fallback>
        </mc:AlternateContent>
      </w:r>
    </w:p>
    <w:p w14:paraId="694C8141">
      <w:pPr>
        <w:numPr>
          <w:ilvl w:val="0"/>
          <w:numId w:val="0"/>
        </w:numPr>
        <w:jc w:val="center"/>
        <w:rPr>
          <w:rFonts w:hint="eastAsia" w:asciiTheme="majorEastAsia" w:hAnsiTheme="majorEastAsia" w:eastAsiaTheme="majorEastAsia" w:cstheme="majorEastAsia"/>
          <w:b/>
          <w:bCs/>
          <w:color w:val="auto"/>
          <w:sz w:val="44"/>
          <w:szCs w:val="44"/>
          <w:lang w:val="en-US" w:eastAsia="zh-CN"/>
        </w:rPr>
      </w:pPr>
    </w:p>
    <w:p w14:paraId="405B5D97">
      <w:pPr>
        <w:pStyle w:val="2"/>
        <w:rPr>
          <w:rFonts w:hint="eastAsia"/>
          <w:lang w:val="en-US" w:eastAsia="zh-CN"/>
        </w:rPr>
      </w:pPr>
    </w:p>
    <w:p w14:paraId="34F39A70">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乡村振兴服务中心2023年度</w:t>
      </w:r>
    </w:p>
    <w:p w14:paraId="0F1235FB">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衔接及整合资金使用情况绩效自评总结</w:t>
      </w:r>
    </w:p>
    <w:p w14:paraId="00621CA6">
      <w:pPr>
        <w:pStyle w:val="10"/>
        <w:rPr>
          <w:rFonts w:hint="eastAsia" w:ascii="仿宋_GB2312" w:hAnsi="仿宋_GB2312" w:eastAsia="仿宋_GB2312" w:cs="仿宋_GB2312"/>
          <w:b w:val="0"/>
          <w:bCs w:val="0"/>
          <w:color w:val="auto"/>
          <w:sz w:val="32"/>
          <w:szCs w:val="32"/>
          <w:lang w:val="en-US" w:eastAsia="zh-CN"/>
        </w:rPr>
      </w:pPr>
    </w:p>
    <w:p w14:paraId="326470C7">
      <w:pPr>
        <w:pStyle w:val="1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县财政局：</w:t>
      </w:r>
    </w:p>
    <w:p w14:paraId="066AFC18">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财政</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b w:val="0"/>
          <w:bCs w:val="0"/>
          <w:color w:val="auto"/>
          <w:sz w:val="32"/>
          <w:szCs w:val="32"/>
          <w:lang w:val="en-US" w:eastAsia="zh-CN"/>
        </w:rPr>
        <w:t>印发</w:t>
      </w:r>
      <w:r>
        <w:rPr>
          <w:rFonts w:hint="eastAsia" w:ascii="仿宋_GB2312" w:hAnsi="仿宋_GB2312" w:eastAsia="仿宋_GB2312" w:cs="仿宋_GB2312"/>
          <w:sz w:val="32"/>
          <w:szCs w:val="32"/>
          <w:lang w:eastAsia="zh-CN"/>
        </w:rPr>
        <w:t>《关于对202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年度衔接及整合资金使用情况开展绩效自评总结工作的通知》（</w:t>
      </w:r>
      <w:r>
        <w:rPr>
          <w:rFonts w:hint="eastAsia" w:ascii="仿宋_GB2312" w:hAnsi="仿宋_GB2312" w:eastAsia="仿宋_GB2312" w:cs="仿宋_GB2312"/>
          <w:sz w:val="32"/>
          <w:szCs w:val="32"/>
          <w:lang w:val="en-US" w:eastAsia="zh-CN"/>
        </w:rPr>
        <w:t>靖财农</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603</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lang w:eastAsia="zh-CN"/>
        </w:rPr>
        <w:t>要求，现将</w:t>
      </w:r>
      <w:r>
        <w:rPr>
          <w:rFonts w:hint="eastAsia" w:ascii="仿宋_GB2312" w:hAnsi="仿宋_GB2312" w:eastAsia="仿宋_GB2312" w:cs="仿宋_GB2312"/>
          <w:sz w:val="32"/>
          <w:szCs w:val="32"/>
          <w:lang w:val="en-US" w:eastAsia="zh-CN"/>
        </w:rPr>
        <w:t>我中心2023年度</w:t>
      </w:r>
      <w:r>
        <w:rPr>
          <w:rFonts w:hint="eastAsia" w:ascii="仿宋_GB2312" w:hAnsi="仿宋_GB2312" w:eastAsia="仿宋_GB2312" w:cs="仿宋_GB2312"/>
          <w:sz w:val="32"/>
          <w:szCs w:val="32"/>
          <w:lang w:eastAsia="zh-CN"/>
        </w:rPr>
        <w:t>衔接</w:t>
      </w:r>
      <w:r>
        <w:rPr>
          <w:rFonts w:hint="eastAsia" w:ascii="仿宋_GB2312" w:hAnsi="仿宋_GB2312" w:eastAsia="仿宋_GB2312" w:cs="仿宋_GB2312"/>
          <w:sz w:val="32"/>
          <w:szCs w:val="32"/>
          <w:lang w:val="en-US" w:eastAsia="zh-CN"/>
        </w:rPr>
        <w:t>及整合资金使用情况绩效自评总结</w:t>
      </w:r>
      <w:r>
        <w:rPr>
          <w:rFonts w:hint="eastAsia" w:ascii="仿宋_GB2312" w:hAnsi="仿宋_GB2312" w:eastAsia="仿宋_GB2312" w:cs="仿宋_GB2312"/>
          <w:sz w:val="32"/>
          <w:szCs w:val="32"/>
          <w:lang w:eastAsia="zh-CN"/>
        </w:rPr>
        <w:t>如下：</w:t>
      </w:r>
    </w:p>
    <w:p w14:paraId="74B99712">
      <w:pPr>
        <w:numPr>
          <w:ilvl w:val="0"/>
          <w:numId w:val="1"/>
        </w:numPr>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项目资金基本情况</w:t>
      </w:r>
    </w:p>
    <w:p w14:paraId="23148CB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yellow"/>
          <w:lang w:val="en-US" w:eastAsia="zh-CN"/>
        </w:rPr>
      </w:pPr>
      <w:r>
        <w:rPr>
          <w:rStyle w:val="14"/>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按照县政府印发的</w:t>
      </w:r>
      <w:r>
        <w:rPr>
          <w:rFonts w:hint="eastAsia" w:ascii="仿宋_GB2312" w:hAnsi="仿宋_GB2312" w:eastAsia="仿宋_GB2312" w:cs="仿宋_GB2312"/>
          <w:sz w:val="32"/>
          <w:szCs w:val="32"/>
          <w:lang w:val="en-US" w:eastAsia="zh-CN"/>
        </w:rPr>
        <w:t>《靖宇县2023年财政涉农资金统筹整合使用方案》和县委农村工作领导小组项目资金批复文件以及县财政下达的资金文件，</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2023年我中心衔接及</w:t>
      </w:r>
      <w:r>
        <w:rPr>
          <w:rFonts w:hint="eastAsia" w:ascii="仿宋_GB2312" w:hAnsi="仿宋_GB2312" w:eastAsia="仿宋_GB2312" w:cs="仿宋_GB2312"/>
          <w:b w:val="0"/>
          <w:bCs w:val="0"/>
          <w:i w:val="0"/>
          <w:caps w:val="0"/>
          <w:color w:val="333333"/>
          <w:spacing w:val="0"/>
          <w:sz w:val="32"/>
          <w:szCs w:val="32"/>
          <w:shd w:val="clear" w:color="auto" w:fill="FFFFFF"/>
          <w:lang w:eastAsia="zh-CN"/>
        </w:rPr>
        <w:t>整合资金</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总计2062.48万元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包括衔接资金1436万元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共</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安排</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r>
        <w:rPr>
          <w:rFonts w:hint="eastAsia" w:ascii="仿宋_GB2312" w:hAnsi="仿宋_GB2312" w:eastAsia="仿宋_GB2312" w:cs="仿宋_GB2312"/>
          <w:color w:val="auto"/>
          <w:sz w:val="32"/>
          <w:szCs w:val="32"/>
        </w:rPr>
        <w:t>其中产业项目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资金1400万元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000000"/>
          <w:spacing w:val="0"/>
          <w:w w:val="100"/>
          <w:position w:val="0"/>
          <w:sz w:val="32"/>
          <w:szCs w:val="32"/>
          <w:shd w:val="clear" w:color="auto" w:fill="auto"/>
          <w:lang w:val="en-US" w:eastAsia="zh-CN"/>
        </w:rPr>
        <w:t>包括衔接资金1000万元</w:t>
      </w:r>
      <w:r>
        <w:rPr>
          <w:rFonts w:hint="eastAsia" w:ascii="仿宋_GB2312" w:hAnsi="仿宋_GB2312" w:eastAsia="仿宋_GB2312" w:cs="仿宋_GB2312"/>
          <w:color w:val="000000"/>
          <w:spacing w:val="0"/>
          <w:w w:val="100"/>
          <w:position w:val="0"/>
          <w:sz w:val="32"/>
          <w:szCs w:val="32"/>
          <w:shd w:val="clear" w:color="auto" w:fill="auto"/>
          <w:lang w:eastAsia="zh-CN"/>
        </w:rPr>
        <w:t>）</w:t>
      </w:r>
      <w:r>
        <w:rPr>
          <w:rFonts w:hint="eastAsia" w:ascii="仿宋_GB2312" w:hAnsi="仿宋_GB2312" w:eastAsia="仿宋_GB2312" w:cs="仿宋_GB2312"/>
          <w:color w:val="auto"/>
          <w:sz w:val="32"/>
          <w:szCs w:val="32"/>
          <w:lang w:val="en-US" w:eastAsia="zh-CN"/>
        </w:rPr>
        <w:t>；易地搬迁项目2个，资金436万元（全部为衔接资金）；小额贷款贴息项目1个，资金81.48万元；村庄规划编制费用1个，资金145万元。</w:t>
      </w:r>
    </w:p>
    <w:p w14:paraId="6178001A">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14:paraId="0A0B3C60">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14:paraId="50E3933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s="仿宋"/>
          <w:strike w:val="0"/>
          <w:dstrike w:val="0"/>
          <w:color w:val="auto"/>
          <w:spacing w:val="0"/>
          <w:w w:val="100"/>
          <w:position w:val="0"/>
          <w:sz w:val="32"/>
          <w:szCs w:val="32"/>
          <w:highlight w:val="none"/>
          <w:u w:val="none"/>
          <w:lang w:val="en-US" w:eastAsia="zh-CN"/>
        </w:rPr>
      </w:pPr>
      <w:r>
        <w:rPr>
          <w:rFonts w:hint="eastAsia" w:ascii="仿宋_GB2312" w:hAnsi="仿宋_GB2312" w:eastAsia="仿宋_GB2312" w:cs="仿宋_GB2312"/>
          <w:b w:val="0"/>
          <w:bCs w:val="0"/>
          <w:sz w:val="32"/>
          <w:szCs w:val="32"/>
          <w:lang w:val="en-US" w:eastAsia="zh-CN"/>
        </w:rPr>
        <w:t>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highlight w:val="none"/>
          <w:lang w:val="en-US" w:eastAsia="zh-CN"/>
        </w:rPr>
        <w:t>靖宇县统筹整合使用财政涉农资金管理办法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highlight w:val="none"/>
          <w:lang w:val="en-US" w:eastAsia="zh-CN"/>
        </w:rPr>
        <w:t>靖政发〔2021〕23号</w:t>
      </w:r>
      <w:r>
        <w:rPr>
          <w:rFonts w:hint="eastAsia" w:ascii="仿宋_GB2312" w:hAnsi="仿宋_GB2312" w:eastAsia="仿宋_GB2312" w:cs="仿宋_GB2312"/>
          <w:b w:val="0"/>
          <w:bCs w:val="0"/>
          <w:sz w:val="32"/>
          <w:szCs w:val="32"/>
          <w:lang w:val="en-US" w:eastAsia="zh-CN"/>
        </w:rPr>
        <w:t>）和《靖宇县财政衔接推进乡村振兴补助资金管理实施细则》（靖政办发〔2021〕50号）文件要求</w:t>
      </w:r>
      <w:r>
        <w:rPr>
          <w:rFonts w:hint="eastAsia" w:ascii="仿宋_GB2312" w:hAnsi="仿宋_GB2312" w:eastAsia="仿宋_GB2312" w:cs="仿宋_GB2312"/>
          <w:b w:val="0"/>
          <w:bCs w:val="0"/>
          <w:sz w:val="32"/>
          <w:szCs w:val="32"/>
          <w:lang w:eastAsia="zh-CN"/>
        </w:rPr>
        <w:t>，为加强</w:t>
      </w:r>
      <w:r>
        <w:rPr>
          <w:rFonts w:hint="eastAsia" w:ascii="仿宋_GB2312" w:hAnsi="仿宋_GB2312" w:eastAsia="仿宋_GB2312" w:cs="仿宋_GB2312"/>
          <w:b w:val="0"/>
          <w:bCs w:val="0"/>
          <w:sz w:val="32"/>
          <w:szCs w:val="32"/>
          <w:lang w:val="en-US" w:eastAsia="zh-CN"/>
        </w:rPr>
        <w:t>衔接及整合</w:t>
      </w:r>
      <w:r>
        <w:rPr>
          <w:rFonts w:hint="eastAsia" w:ascii="仿宋_GB2312" w:hAnsi="仿宋_GB2312" w:eastAsia="仿宋_GB2312" w:cs="仿宋_GB2312"/>
          <w:b w:val="0"/>
          <w:bCs w:val="0"/>
          <w:sz w:val="32"/>
          <w:szCs w:val="32"/>
          <w:lang w:eastAsia="zh-CN"/>
        </w:rPr>
        <w:t>资金</w:t>
      </w:r>
      <w:r>
        <w:rPr>
          <w:rFonts w:hint="eastAsia" w:ascii="仿宋_GB2312" w:hAnsi="仿宋_GB2312" w:eastAsia="仿宋_GB2312" w:cs="仿宋_GB2312"/>
          <w:b w:val="0"/>
          <w:bCs w:val="0"/>
          <w:sz w:val="32"/>
          <w:szCs w:val="32"/>
          <w:lang w:val="en-US" w:eastAsia="zh-CN"/>
        </w:rPr>
        <w:t>管理</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lang w:val="en-US" w:eastAsia="zh-CN"/>
        </w:rPr>
        <w:t>我单位</w:t>
      </w:r>
      <w:r>
        <w:rPr>
          <w:rFonts w:hint="eastAsia" w:ascii="仿宋" w:hAnsi="仿宋" w:eastAsia="仿宋" w:cs="仿宋"/>
          <w:strike w:val="0"/>
          <w:dstrike w:val="0"/>
          <w:color w:val="auto"/>
          <w:spacing w:val="0"/>
          <w:w w:val="100"/>
          <w:position w:val="0"/>
          <w:sz w:val="32"/>
          <w:szCs w:val="32"/>
          <w:highlight w:val="none"/>
          <w:u w:val="none"/>
          <w:lang w:val="en-US" w:eastAsia="zh-CN"/>
        </w:rPr>
        <w:t>积极履行主体责任，按照衔接推进乡村振兴补助资金绩效评价考核要求,紧盯关键时间节点,科学制定工作计划，明确节点任务，细化进度安排，全力推进项目实施。</w:t>
      </w:r>
      <w:r>
        <w:rPr>
          <w:rFonts w:hint="eastAsia" w:ascii="仿宋" w:hAnsi="仿宋" w:eastAsia="仿宋" w:cs="仿宋"/>
          <w:sz w:val="32"/>
          <w:szCs w:val="32"/>
          <w:highlight w:val="none"/>
        </w:rPr>
        <w:t>靖宇县赤松镇和牛培育养殖产业发展示范园区建设项目</w:t>
      </w:r>
      <w:r>
        <w:rPr>
          <w:rFonts w:hint="eastAsia" w:ascii="仿宋" w:hAnsi="仿宋" w:eastAsia="仿宋" w:cs="仿宋"/>
          <w:strike w:val="0"/>
          <w:dstrike w:val="0"/>
          <w:color w:val="auto"/>
          <w:spacing w:val="0"/>
          <w:w w:val="100"/>
          <w:position w:val="0"/>
          <w:sz w:val="32"/>
          <w:szCs w:val="32"/>
          <w:highlight w:val="none"/>
          <w:u w:val="none"/>
          <w:lang w:val="en-US" w:eastAsia="zh-CN"/>
        </w:rPr>
        <w:t>，由于合作投资运营方未按协议约定将应由其投入的资金拨付到位，且始终未与施工方签定施工合同，考虑到资金安全及项目推进程序的合规性，因此暂缓赤松和牛项目的实施。</w:t>
      </w:r>
    </w:p>
    <w:p w14:paraId="004D9CB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在</w:t>
      </w:r>
      <w:r>
        <w:rPr>
          <w:rFonts w:hint="eastAsia" w:ascii="仿宋_GB2312" w:hAnsi="仿宋_GB2312" w:eastAsia="仿宋_GB2312" w:cs="仿宋_GB2312"/>
          <w:color w:val="auto"/>
          <w:sz w:val="32"/>
          <w:szCs w:val="32"/>
          <w:highlight w:val="none"/>
          <w:lang w:val="en-US" w:eastAsia="zh-CN"/>
        </w:rPr>
        <w:t>县财政局指导下，我单位对每一个项目均填报了</w:t>
      </w:r>
      <w:r>
        <w:rPr>
          <w:rFonts w:hint="eastAsia" w:ascii="仿宋_GB2312" w:hAnsi="仿宋_GB2312" w:eastAsia="仿宋_GB2312" w:cs="仿宋_GB2312"/>
          <w:color w:val="auto"/>
          <w:sz w:val="32"/>
          <w:szCs w:val="32"/>
          <w:lang w:val="en-US" w:eastAsia="zh-CN"/>
        </w:rPr>
        <w:t>《绩效目标申报表》，</w:t>
      </w:r>
      <w:r>
        <w:rPr>
          <w:rFonts w:hint="eastAsia" w:ascii="仿宋_GB2312" w:hAnsi="仿宋_GB2312" w:eastAsia="仿宋_GB2312" w:cs="仿宋_GB2312"/>
          <w:sz w:val="32"/>
          <w:szCs w:val="32"/>
          <w:highlight w:val="none"/>
          <w:lang w:val="en-US" w:eastAsia="zh-CN"/>
        </w:rPr>
        <w:t>县财政局按照项目大类，分别下达了绩效目标批复文件，明确了目标任务。为完成好项目绩效目标，在项目实施过程中，</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由主管人员</w:t>
      </w:r>
      <w:r>
        <w:rPr>
          <w:rFonts w:hint="eastAsia" w:ascii="仿宋_GB2312" w:hAnsi="仿宋_GB2312" w:eastAsia="仿宋_GB2312" w:cs="仿宋_GB2312"/>
          <w:b w:val="0"/>
          <w:bCs w:val="0"/>
          <w:i w:val="0"/>
          <w:caps w:val="0"/>
          <w:color w:val="auto"/>
          <w:spacing w:val="0"/>
          <w:sz w:val="32"/>
          <w:szCs w:val="32"/>
          <w:shd w:val="clear" w:color="auto" w:fill="FFFFFF"/>
          <w:lang w:eastAsia="zh-CN"/>
        </w:rPr>
        <w:t>定期开展项目实施情况和资金支出进度跟踪</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问查，</w:t>
      </w:r>
      <w:r>
        <w:rPr>
          <w:rFonts w:hint="eastAsia" w:ascii="仿宋_GB2312" w:hAnsi="仿宋_GB2312" w:eastAsia="仿宋_GB2312" w:cs="仿宋_GB2312"/>
          <w:color w:val="000000"/>
          <w:spacing w:val="0"/>
          <w:w w:val="100"/>
          <w:position w:val="0"/>
          <w:sz w:val="32"/>
          <w:szCs w:val="32"/>
        </w:rPr>
        <w:t>全力推进项目建设，紧跟项目进度，加快资金</w:t>
      </w:r>
      <w:r>
        <w:rPr>
          <w:rFonts w:hint="eastAsia" w:ascii="仿宋_GB2312" w:hAnsi="仿宋_GB2312" w:eastAsia="仿宋_GB2312" w:cs="仿宋_GB2312"/>
          <w:color w:val="000000"/>
          <w:spacing w:val="0"/>
          <w:w w:val="100"/>
          <w:position w:val="0"/>
          <w:sz w:val="32"/>
          <w:szCs w:val="32"/>
          <w:lang w:val="en-US" w:eastAsia="zh-CN"/>
        </w:rPr>
        <w:t>支付进度</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项目建设过程中，</w:t>
      </w:r>
      <w:r>
        <w:rPr>
          <w:rFonts w:hint="eastAsia" w:ascii="仿宋_GB2312" w:hAnsi="仿宋_GB2312" w:eastAsia="仿宋_GB2312" w:cs="仿宋_GB2312"/>
          <w:sz w:val="32"/>
          <w:szCs w:val="32"/>
          <w:highlight w:val="none"/>
          <w:lang w:val="en-US" w:eastAsia="zh-CN"/>
        </w:rPr>
        <w:t>按照县财政局工作要求，填报了项目《绩效运行监控表》。</w:t>
      </w:r>
      <w:r>
        <w:rPr>
          <w:rFonts w:hint="eastAsia" w:ascii="仿宋_GB2312" w:hAnsi="仿宋_GB2312" w:eastAsia="仿宋_GB2312" w:cs="仿宋_GB2312"/>
          <w:sz w:val="32"/>
          <w:szCs w:val="32"/>
          <w:lang w:val="en-US" w:eastAsia="zh-CN"/>
        </w:rPr>
        <w:t xml:space="preserve"> </w:t>
      </w:r>
    </w:p>
    <w:p w14:paraId="2A621396">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14:paraId="698224EE">
      <w:pPr>
        <w:numPr>
          <w:ilvl w:val="0"/>
          <w:numId w:val="0"/>
        </w:numPr>
        <w:ind w:firstLine="640" w:firstLineChars="200"/>
        <w:jc w:val="left"/>
        <w:rPr>
          <w:rFonts w:hint="eastAsia" w:ascii="仿宋_GB2312" w:hAnsi="仿宋_GB2312" w:eastAsia="仿宋_GB2312" w:cs="仿宋_GB2312"/>
          <w:b w:val="0"/>
          <w:bCs w:val="0"/>
          <w:i w:val="0"/>
          <w:caps w:val="0"/>
          <w:color w:val="auto"/>
          <w:spacing w:val="0"/>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对于每一个项目，开工前都在所在村屯进行公告公示。项目竣工后，将竣工结算结果先行公示，无反馈问题后，再进行最终结算付款。</w:t>
      </w:r>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t>在各类检查中没有收到全国12317防止返贫监测和乡村振兴咨询服务平台(简称12317平台)反馈问题。</w:t>
      </w:r>
    </w:p>
    <w:p w14:paraId="34041614">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14:paraId="3A9E05A0">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14:paraId="70A075DA">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仿宋_GB2312" w:hAnsi="仿宋_GB2312" w:eastAsia="仿宋_GB2312" w:cs="仿宋_GB2312"/>
          <w:color w:val="auto"/>
          <w:spacing w:val="0"/>
          <w:w w:val="100"/>
          <w:position w:val="0"/>
          <w:sz w:val="32"/>
          <w:szCs w:val="32"/>
          <w:highlight w:val="none"/>
          <w:lang w:val="en-US" w:eastAsia="zh-CN"/>
        </w:rPr>
      </w:pPr>
      <w:r>
        <w:rPr>
          <w:rFonts w:hint="eastAsia" w:ascii="仿宋_GB2312" w:hAnsi="仿宋_GB2312" w:eastAsia="仿宋_GB2312" w:cs="仿宋_GB2312"/>
          <w:color w:val="auto"/>
          <w:spacing w:val="0"/>
          <w:w w:val="100"/>
          <w:position w:val="0"/>
          <w:sz w:val="32"/>
          <w:szCs w:val="32"/>
          <w:highlight w:val="none"/>
          <w:lang w:val="en-US" w:eastAsia="zh-CN"/>
        </w:rPr>
        <w:t>2023年我单位衔接及整合资金资金合计</w:t>
      </w:r>
      <w:r>
        <w:rPr>
          <w:rFonts w:hint="eastAsia" w:ascii="仿宋_GB2312" w:hAnsi="仿宋_GB2312" w:eastAsia="仿宋_GB2312" w:cs="仿宋_GB2312"/>
          <w:b w:val="0"/>
          <w:bCs w:val="0"/>
          <w:i w:val="0"/>
          <w:caps w:val="0"/>
          <w:color w:val="333333"/>
          <w:spacing w:val="0"/>
          <w:sz w:val="32"/>
          <w:szCs w:val="32"/>
          <w:shd w:val="clear" w:color="auto" w:fill="FFFFFF"/>
          <w:lang w:val="en-US" w:eastAsia="zh-CN"/>
        </w:rPr>
        <w:t>2062.48</w:t>
      </w:r>
      <w:r>
        <w:rPr>
          <w:rFonts w:hint="eastAsia" w:ascii="仿宋_GB2312" w:hAnsi="仿宋_GB2312" w:eastAsia="仿宋_GB2312" w:cs="仿宋_GB2312"/>
          <w:color w:val="auto"/>
          <w:spacing w:val="0"/>
          <w:w w:val="100"/>
          <w:position w:val="0"/>
          <w:sz w:val="32"/>
          <w:szCs w:val="32"/>
          <w:highlight w:val="none"/>
          <w:lang w:val="en-US" w:eastAsia="zh-CN"/>
        </w:rPr>
        <w:t>万元，截止2024年9月19日，实际支出完成80.6</w:t>
      </w:r>
      <w:r>
        <w:rPr>
          <w:rFonts w:hint="eastAsia" w:ascii="仿宋_GB2312" w:hAnsi="仿宋_GB2312" w:eastAsia="仿宋_GB2312" w:cs="仿宋_GB2312"/>
          <w:color w:val="auto"/>
          <w:spacing w:val="0"/>
          <w:w w:val="100"/>
          <w:position w:val="0"/>
          <w:sz w:val="32"/>
          <w:szCs w:val="32"/>
          <w:highlight w:val="none"/>
          <w:lang w:val="en-US" w:eastAsia="zh-CN"/>
        </w:rPr>
        <w:t>%。结转资金400万元。</w:t>
      </w:r>
    </w:p>
    <w:p w14:paraId="524DB120">
      <w:pPr>
        <w:numPr>
          <w:ilvl w:val="0"/>
          <w:numId w:val="0"/>
        </w:numPr>
        <w:ind w:firstLine="643" w:firstLineChars="200"/>
        <w:jc w:val="left"/>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（二）分类资金使用效益</w:t>
      </w:r>
    </w:p>
    <w:p w14:paraId="73844781">
      <w:pPr>
        <w:numPr>
          <w:ilvl w:val="0"/>
          <w:numId w:val="0"/>
        </w:numPr>
        <w:ind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1.产业项目</w:t>
      </w:r>
    </w:p>
    <w:p w14:paraId="20253B0D">
      <w:pPr>
        <w:numPr>
          <w:ilvl w:val="0"/>
          <w:numId w:val="0"/>
        </w:numPr>
        <w:ind w:firstLine="640" w:firstLineChars="200"/>
        <w:jc w:val="both"/>
        <w:rPr>
          <w:rFonts w:hint="eastAsia" w:ascii="仿宋_GB2312" w:hAnsi="仿宋_GB2312" w:eastAsia="仿宋_GB2312" w:cs="仿宋_GB2312"/>
          <w:b/>
          <w:bCs/>
          <w:color w:val="auto"/>
          <w:kern w:val="2"/>
          <w:sz w:val="32"/>
          <w:szCs w:val="32"/>
          <w:lang w:val="en-US" w:eastAsia="zh-CN" w:bidi="ar-SA"/>
        </w:rPr>
      </w:pPr>
      <w:r>
        <w:rPr>
          <w:rFonts w:hint="eastAsia" w:ascii="仿宋" w:hAnsi="仿宋" w:eastAsia="仿宋" w:cs="仿宋"/>
          <w:sz w:val="32"/>
          <w:szCs w:val="32"/>
          <w:highlight w:val="none"/>
        </w:rPr>
        <w:t>靖宇县赤松镇和牛培育养殖产业发展示范园区建设项目</w:t>
      </w:r>
      <w:r>
        <w:rPr>
          <w:rFonts w:hint="eastAsia" w:ascii="仿宋" w:hAnsi="仿宋" w:eastAsia="仿宋" w:cs="仿宋"/>
          <w:sz w:val="32"/>
          <w:szCs w:val="32"/>
          <w:highlight w:val="none"/>
          <w:lang w:eastAsia="zh-CN"/>
        </w:rPr>
        <w:t>在实施前即制定了详细的联农带农方案，</w:t>
      </w:r>
      <w:r>
        <w:rPr>
          <w:rFonts w:hint="eastAsia" w:ascii="仿宋" w:hAnsi="仿宋" w:eastAsia="仿宋" w:cs="仿宋"/>
          <w:b w:val="0"/>
          <w:bCs w:val="0"/>
          <w:sz w:val="32"/>
          <w:szCs w:val="32"/>
          <w:highlight w:val="none"/>
          <w:lang w:eastAsia="zh-CN"/>
        </w:rPr>
        <w:t>项目</w:t>
      </w:r>
      <w:r>
        <w:rPr>
          <w:rFonts w:hint="eastAsia" w:ascii="仿宋_GB2312" w:hAnsi="仿宋_GB2312" w:eastAsia="仿宋_GB2312" w:cs="仿宋_GB2312"/>
          <w:b w:val="0"/>
          <w:bCs w:val="0"/>
          <w:color w:val="auto"/>
          <w:kern w:val="2"/>
          <w:sz w:val="32"/>
          <w:szCs w:val="32"/>
          <w:lang w:val="en-US" w:eastAsia="zh-CN" w:bidi="ar-SA"/>
        </w:rPr>
        <w:t>建成后：</w:t>
      </w:r>
    </w:p>
    <w:p w14:paraId="1F657B96">
      <w:pPr>
        <w:pStyle w:val="3"/>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（1）所获收益全部用于增加赤松镇14个行政村的集体经济收入,受益脱贫户为495户853人，监测户19户40人；</w:t>
      </w:r>
    </w:p>
    <w:p w14:paraId="1BD49598">
      <w:pPr>
        <w:ind w:firstLine="640"/>
        <w:rPr>
          <w:rFonts w:hint="default" w:eastAsia="仿宋"/>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）通过</w:t>
      </w:r>
      <w:r>
        <w:rPr>
          <w:rFonts w:hint="eastAsia" w:ascii="仿宋" w:hAnsi="仿宋" w:eastAsia="仿宋" w:cs="仿宋"/>
          <w:sz w:val="32"/>
          <w:szCs w:val="32"/>
        </w:rPr>
        <w:t>“民繁企育”</w:t>
      </w:r>
      <w:r>
        <w:rPr>
          <w:rFonts w:hint="eastAsia" w:ascii="仿宋" w:hAnsi="仿宋" w:eastAsia="仿宋" w:cs="仿宋"/>
          <w:sz w:val="32"/>
          <w:szCs w:val="32"/>
          <w:lang w:eastAsia="zh-CN"/>
        </w:rPr>
        <w:t>发展方式，</w:t>
      </w:r>
      <w:r>
        <w:rPr>
          <w:rFonts w:hint="eastAsia" w:ascii="仿宋" w:hAnsi="仿宋" w:eastAsia="仿宋" w:cs="仿宋"/>
          <w:sz w:val="32"/>
          <w:szCs w:val="32"/>
        </w:rPr>
        <w:t>力争在三年内</w:t>
      </w:r>
      <w:r>
        <w:rPr>
          <w:rFonts w:hint="eastAsia" w:ascii="仿宋" w:hAnsi="仿宋" w:eastAsia="仿宋" w:cs="仿宋"/>
          <w:sz w:val="32"/>
          <w:szCs w:val="32"/>
          <w:lang w:eastAsia="zh-CN"/>
        </w:rPr>
        <w:t>建立</w:t>
      </w:r>
      <w:r>
        <w:rPr>
          <w:rFonts w:hint="eastAsia" w:ascii="仿宋" w:hAnsi="仿宋" w:eastAsia="仿宋" w:cs="仿宋"/>
          <w:sz w:val="32"/>
          <w:szCs w:val="32"/>
        </w:rPr>
        <w:t>农户或合作社</w:t>
      </w:r>
      <w:r>
        <w:rPr>
          <w:rFonts w:hint="eastAsia" w:ascii="仿宋" w:hAnsi="仿宋" w:eastAsia="仿宋" w:cs="仿宋"/>
          <w:sz w:val="32"/>
          <w:szCs w:val="32"/>
          <w:lang w:eastAsia="zh-CN"/>
        </w:rPr>
        <w:t>参与</w:t>
      </w:r>
      <w:r>
        <w:rPr>
          <w:rFonts w:hint="eastAsia" w:ascii="仿宋" w:hAnsi="仿宋" w:eastAsia="仿宋" w:cs="仿宋"/>
          <w:sz w:val="32"/>
          <w:szCs w:val="32"/>
        </w:rPr>
        <w:t>不少于100户</w:t>
      </w:r>
      <w:r>
        <w:rPr>
          <w:rFonts w:hint="eastAsia" w:ascii="仿宋" w:hAnsi="仿宋" w:eastAsia="仿宋" w:cs="仿宋"/>
          <w:sz w:val="32"/>
          <w:szCs w:val="32"/>
          <w:lang w:eastAsia="zh-CN"/>
        </w:rPr>
        <w:t>、每户</w:t>
      </w:r>
      <w:r>
        <w:rPr>
          <w:rFonts w:hint="eastAsia" w:ascii="仿宋" w:hAnsi="仿宋" w:eastAsia="仿宋" w:cs="仿宋"/>
          <w:sz w:val="32"/>
          <w:szCs w:val="32"/>
        </w:rPr>
        <w:t>存栏繁育母牛</w:t>
      </w:r>
      <w:r>
        <w:rPr>
          <w:rFonts w:hint="eastAsia" w:ascii="仿宋" w:hAnsi="仿宋" w:eastAsia="仿宋" w:cs="仿宋"/>
          <w:sz w:val="32"/>
          <w:szCs w:val="32"/>
          <w:lang w:eastAsia="zh-CN"/>
        </w:rPr>
        <w:t>不少于</w:t>
      </w:r>
      <w:r>
        <w:rPr>
          <w:rFonts w:hint="eastAsia" w:ascii="仿宋" w:hAnsi="仿宋" w:eastAsia="仿宋" w:cs="仿宋"/>
          <w:sz w:val="32"/>
          <w:szCs w:val="32"/>
          <w:lang w:val="en-US" w:eastAsia="zh-CN"/>
        </w:rPr>
        <w:t>100</w:t>
      </w:r>
      <w:r>
        <w:rPr>
          <w:rFonts w:hint="eastAsia" w:ascii="仿宋" w:hAnsi="仿宋" w:eastAsia="仿宋" w:cs="仿宋"/>
          <w:sz w:val="32"/>
          <w:szCs w:val="32"/>
        </w:rPr>
        <w:t>头的</w:t>
      </w:r>
      <w:r>
        <w:rPr>
          <w:rFonts w:hint="eastAsia" w:ascii="仿宋" w:hAnsi="仿宋" w:eastAsia="仿宋" w:cs="仿宋"/>
          <w:sz w:val="32"/>
          <w:szCs w:val="32"/>
          <w:lang w:eastAsia="zh-CN"/>
        </w:rPr>
        <w:t>本地</w:t>
      </w:r>
      <w:r>
        <w:rPr>
          <w:rFonts w:hint="eastAsia" w:ascii="仿宋" w:hAnsi="仿宋" w:eastAsia="仿宋" w:cs="仿宋"/>
          <w:sz w:val="32"/>
          <w:szCs w:val="32"/>
        </w:rPr>
        <w:t>繁育体系</w:t>
      </w:r>
      <w:r>
        <w:rPr>
          <w:rFonts w:hint="eastAsia" w:ascii="仿宋" w:hAnsi="仿宋" w:eastAsia="仿宋" w:cs="仿宋"/>
          <w:sz w:val="32"/>
          <w:szCs w:val="32"/>
          <w:lang w:eastAsia="zh-CN"/>
        </w:rPr>
        <w:t>。</w:t>
      </w:r>
    </w:p>
    <w:p w14:paraId="581A5E1A">
      <w:p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sz w:val="32"/>
          <w:szCs w:val="32"/>
          <w:lang w:val="en-US" w:eastAsia="zh-CN"/>
        </w:rPr>
        <w:t>　　（3）</w:t>
      </w:r>
      <w:r>
        <w:rPr>
          <w:rFonts w:hint="eastAsia" w:ascii="仿宋_GB2312" w:hAnsi="仿宋_GB2312" w:eastAsia="仿宋_GB2312" w:cs="仿宋_GB2312"/>
          <w:b w:val="0"/>
          <w:bCs w:val="0"/>
          <w:sz w:val="32"/>
          <w:szCs w:val="32"/>
          <w:lang w:val="en-US" w:eastAsia="zh-CN"/>
        </w:rPr>
        <w:t>提供就</w:t>
      </w:r>
      <w:r>
        <w:rPr>
          <w:rFonts w:hint="eastAsia" w:ascii="仿宋_GB2312" w:hAnsi="仿宋_GB2312" w:eastAsia="仿宋_GB2312" w:cs="仿宋_GB2312"/>
          <w:sz w:val="32"/>
          <w:szCs w:val="32"/>
          <w:lang w:val="en-US" w:eastAsia="zh-CN"/>
        </w:rPr>
        <w:t>业岗位约40个，促进农民就地就近就业。</w:t>
      </w:r>
    </w:p>
    <w:p w14:paraId="79FD21F6">
      <w:pPr>
        <w:numPr>
          <w:ilvl w:val="0"/>
          <w:numId w:val="0"/>
        </w:numPr>
        <w:ind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2.小额贷款贴息项目</w:t>
      </w:r>
    </w:p>
    <w:p w14:paraId="2833F2A5">
      <w:pPr>
        <w:pStyle w:val="2"/>
        <w:numPr>
          <w:ilvl w:val="0"/>
          <w:numId w:val="0"/>
        </w:numPr>
        <w:ind w:firstLine="640"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通过贷款贴息，减轻1132户脱贫家庭经济支出81.48万元，有效提升脱贫家庭通过小额信贷资金发展产业的积极性。</w:t>
      </w:r>
    </w:p>
    <w:p w14:paraId="2B9472AF">
      <w:pPr>
        <w:pStyle w:val="2"/>
        <w:numPr>
          <w:numId w:val="0"/>
        </w:numPr>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3.易地搬迁项目</w:t>
      </w:r>
    </w:p>
    <w:p w14:paraId="7C0FFD57">
      <w:pPr>
        <w:pStyle w:val="2"/>
        <w:numPr>
          <w:numId w:val="0"/>
        </w:numPr>
        <w:ind w:firstLine="64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（1）靖宇县2023年易地扶贫搬迁后续扶持花园口镇花园村搬迁人员机耕路建设项目。通过项目实施，进一步改善搬迁安置区农业生产条件，避免耕地水土流失，有效保护黑土地资源。</w:t>
      </w:r>
    </w:p>
    <w:p w14:paraId="786043F5">
      <w:pPr>
        <w:pStyle w:val="2"/>
        <w:numPr>
          <w:numId w:val="0"/>
        </w:numPr>
        <w:ind w:firstLine="64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靖宇县2023年易地扶贫搬迁后续扶持花园口镇花园村搬迁安置点电力改造项目。通过项目实施，有效消除因线路老化、变压器裸露等可能发生的安全隐患，进一步助力花园村文旅产业整体发展。</w:t>
      </w:r>
    </w:p>
    <w:p w14:paraId="12474BCA">
      <w:pPr>
        <w:pStyle w:val="2"/>
        <w:numPr>
          <w:ilvl w:val="0"/>
          <w:numId w:val="0"/>
        </w:numPr>
        <w:ind w:firstLine="64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4、村庄规划编制费用</w:t>
      </w:r>
    </w:p>
    <w:p w14:paraId="3E133F88">
      <w:pPr>
        <w:pStyle w:val="2"/>
        <w:numPr>
          <w:ilvl w:val="0"/>
          <w:numId w:val="0"/>
        </w:numPr>
        <w:ind w:firstLine="642"/>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以村庄分类布局成果为基础，充分尊重农民意愿，统筹谋划、综合设计、因地制宜推进示范创建村村庄划编制全覆盖，确保一张蓝图绘到底。</w:t>
      </w:r>
    </w:p>
    <w:p w14:paraId="189CCB85">
      <w:pPr>
        <w:pStyle w:val="2"/>
        <w:numPr>
          <w:ilvl w:val="0"/>
          <w:numId w:val="2"/>
        </w:numPr>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偏离绩效目标的原因</w:t>
      </w:r>
    </w:p>
    <w:p w14:paraId="3DCA32FD">
      <w:pPr>
        <w:pStyle w:val="2"/>
        <w:numPr>
          <w:ilvl w:val="0"/>
          <w:numId w:val="0"/>
        </w:numPr>
        <w:ind w:firstLine="665"/>
        <w:rPr>
          <w:rFonts w:hint="eastAsia" w:ascii="仿宋" w:hAnsi="仿宋" w:eastAsia="仿宋" w:cs="仿宋"/>
          <w:strike w:val="0"/>
          <w:dstrike w:val="0"/>
          <w:color w:val="auto"/>
          <w:spacing w:val="0"/>
          <w:w w:val="100"/>
          <w:position w:val="0"/>
          <w:sz w:val="32"/>
          <w:szCs w:val="32"/>
          <w:highlight w:val="none"/>
          <w:u w:val="none"/>
          <w:lang w:val="en-US" w:eastAsia="zh-CN"/>
        </w:rPr>
      </w:pPr>
      <w:r>
        <w:rPr>
          <w:rFonts w:hint="eastAsia" w:ascii="仿宋" w:hAnsi="仿宋" w:eastAsia="仿宋" w:cs="仿宋"/>
          <w:sz w:val="32"/>
          <w:szCs w:val="32"/>
          <w:highlight w:val="none"/>
        </w:rPr>
        <w:t>靖宇县赤松镇和牛培育养殖产业发展示范园区建设项目</w:t>
      </w:r>
      <w:r>
        <w:rPr>
          <w:rFonts w:hint="eastAsia" w:ascii="仿宋" w:hAnsi="仿宋" w:eastAsia="仿宋" w:cs="仿宋"/>
          <w:strike w:val="0"/>
          <w:dstrike w:val="0"/>
          <w:color w:val="auto"/>
          <w:spacing w:val="0"/>
          <w:w w:val="100"/>
          <w:position w:val="0"/>
          <w:sz w:val="32"/>
          <w:szCs w:val="32"/>
          <w:highlight w:val="none"/>
          <w:u w:val="none"/>
          <w:lang w:val="en-US" w:eastAsia="zh-CN"/>
        </w:rPr>
        <w:t>计划资金1400万元，实际支出1000万元，偏离绩效目标的原因主要有以下两个方面：</w:t>
      </w:r>
    </w:p>
    <w:p w14:paraId="662C67BC">
      <w:pPr>
        <w:pStyle w:val="2"/>
        <w:numPr>
          <w:ilvl w:val="0"/>
          <w:numId w:val="3"/>
        </w:numPr>
        <w:ind w:firstLine="665"/>
        <w:rPr>
          <w:rFonts w:hint="eastAsia" w:ascii="仿宋" w:hAnsi="仿宋" w:eastAsia="仿宋" w:cs="仿宋"/>
          <w:strike w:val="0"/>
          <w:dstrike w:val="0"/>
          <w:color w:val="auto"/>
          <w:spacing w:val="0"/>
          <w:w w:val="100"/>
          <w:position w:val="0"/>
          <w:sz w:val="32"/>
          <w:szCs w:val="32"/>
          <w:highlight w:val="none"/>
          <w:u w:val="none"/>
          <w:lang w:val="en-US" w:eastAsia="zh-CN"/>
        </w:rPr>
      </w:pPr>
      <w:r>
        <w:rPr>
          <w:rFonts w:hint="eastAsia" w:ascii="仿宋" w:hAnsi="仿宋" w:eastAsia="仿宋" w:cs="仿宋"/>
          <w:strike w:val="0"/>
          <w:dstrike w:val="0"/>
          <w:color w:val="auto"/>
          <w:spacing w:val="0"/>
          <w:w w:val="100"/>
          <w:position w:val="0"/>
          <w:sz w:val="32"/>
          <w:szCs w:val="32"/>
          <w:highlight w:val="none"/>
          <w:u w:val="none"/>
          <w:lang w:val="en-US" w:eastAsia="zh-CN"/>
        </w:rPr>
        <w:t>项目初期，运营方提出按照ＥＰＣ+Ｏ的模式实施，由于运营方多次在设计和建设成本之间反复，导致最终整体施工设计完成较晚，提交财政评审时已至2023年9月。</w:t>
      </w:r>
    </w:p>
    <w:p w14:paraId="1D84CAB6">
      <w:pPr>
        <w:pStyle w:val="2"/>
        <w:numPr>
          <w:ilvl w:val="0"/>
          <w:numId w:val="3"/>
        </w:numPr>
        <w:ind w:firstLine="665"/>
        <w:rPr>
          <w:rFonts w:hint="default" w:ascii="仿宋" w:hAnsi="仿宋" w:eastAsia="仿宋" w:cs="仿宋"/>
          <w:strike w:val="0"/>
          <w:dstrike w:val="0"/>
          <w:color w:val="auto"/>
          <w:spacing w:val="0"/>
          <w:w w:val="100"/>
          <w:position w:val="0"/>
          <w:sz w:val="32"/>
          <w:szCs w:val="32"/>
          <w:highlight w:val="none"/>
          <w:u w:val="none"/>
          <w:lang w:val="en-US" w:eastAsia="zh-CN"/>
        </w:rPr>
      </w:pPr>
      <w:r>
        <w:rPr>
          <w:rFonts w:hint="eastAsia" w:ascii="仿宋" w:hAnsi="仿宋" w:eastAsia="仿宋" w:cs="仿宋"/>
          <w:strike w:val="0"/>
          <w:dstrike w:val="0"/>
          <w:color w:val="auto"/>
          <w:spacing w:val="0"/>
          <w:w w:val="100"/>
          <w:position w:val="0"/>
          <w:sz w:val="32"/>
          <w:szCs w:val="32"/>
          <w:highlight w:val="none"/>
          <w:u w:val="none"/>
          <w:lang w:val="en-US" w:eastAsia="zh-CN"/>
        </w:rPr>
        <w:t>2023年10月项目完成招标后，合作投资运营方始终未按协议约定将应由其投入的资金拨付到位，且迟迟不与施工方未签定施工合同。</w:t>
      </w:r>
    </w:p>
    <w:p w14:paraId="104A23E0">
      <w:pPr>
        <w:pStyle w:val="2"/>
        <w:numPr>
          <w:numId w:val="0"/>
        </w:numPr>
        <w:rPr>
          <w:rFonts w:hint="default" w:ascii="仿宋" w:hAnsi="仿宋" w:eastAsia="仿宋" w:cs="仿宋"/>
          <w:strike w:val="0"/>
          <w:dstrike w:val="0"/>
          <w:color w:val="auto"/>
          <w:spacing w:val="0"/>
          <w:w w:val="100"/>
          <w:position w:val="0"/>
          <w:sz w:val="32"/>
          <w:szCs w:val="32"/>
          <w:highlight w:val="none"/>
          <w:u w:val="none"/>
          <w:lang w:val="en-US" w:eastAsia="zh-CN"/>
        </w:rPr>
      </w:pPr>
      <w:r>
        <w:rPr>
          <w:rFonts w:hint="eastAsia" w:ascii="仿宋" w:hAnsi="仿宋" w:eastAsia="仿宋" w:cs="仿宋"/>
          <w:strike w:val="0"/>
          <w:dstrike w:val="0"/>
          <w:color w:val="auto"/>
          <w:spacing w:val="0"/>
          <w:w w:val="100"/>
          <w:position w:val="0"/>
          <w:sz w:val="32"/>
          <w:szCs w:val="32"/>
          <w:highlight w:val="none"/>
          <w:u w:val="none"/>
          <w:lang w:val="en-US" w:eastAsia="zh-CN"/>
        </w:rPr>
        <w:t>　　考虑到资金安全</w:t>
      </w:r>
      <w:bookmarkStart w:id="0" w:name="_GoBack"/>
      <w:bookmarkEnd w:id="0"/>
      <w:r>
        <w:rPr>
          <w:rFonts w:hint="eastAsia" w:ascii="仿宋" w:hAnsi="仿宋" w:eastAsia="仿宋" w:cs="仿宋"/>
          <w:strike w:val="0"/>
          <w:dstrike w:val="0"/>
          <w:color w:val="auto"/>
          <w:spacing w:val="0"/>
          <w:w w:val="100"/>
          <w:position w:val="0"/>
          <w:sz w:val="32"/>
          <w:szCs w:val="32"/>
          <w:highlight w:val="none"/>
          <w:u w:val="none"/>
          <w:lang w:val="en-US" w:eastAsia="zh-CN"/>
        </w:rPr>
        <w:t>及项目推进程序的合规性，因此暂缓了项目实施。</w:t>
      </w:r>
    </w:p>
    <w:p w14:paraId="1D83EC98">
      <w:pPr>
        <w:pStyle w:val="2"/>
        <w:numPr>
          <w:ilvl w:val="0"/>
          <w:numId w:val="4"/>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整改措施</w:t>
      </w:r>
    </w:p>
    <w:p w14:paraId="5FF135EF">
      <w:pPr>
        <w:pStyle w:val="2"/>
        <w:numPr>
          <w:numId w:val="0"/>
        </w:numPr>
        <w:ind w:firstLine="64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针对</w:t>
      </w:r>
      <w:r>
        <w:rPr>
          <w:rFonts w:hint="eastAsia" w:ascii="仿宋_GB2312" w:hAnsi="仿宋_GB2312" w:eastAsia="仿宋_GB2312" w:cs="仿宋_GB2312"/>
          <w:sz w:val="32"/>
          <w:szCs w:val="32"/>
          <w:highlight w:val="none"/>
        </w:rPr>
        <w:t>赤松镇和牛培育养殖</w:t>
      </w:r>
      <w:r>
        <w:rPr>
          <w:rFonts w:hint="eastAsia" w:ascii="仿宋_GB2312" w:hAnsi="仿宋_GB2312" w:eastAsia="仿宋_GB2312" w:cs="仿宋_GB2312"/>
          <w:sz w:val="32"/>
          <w:szCs w:val="32"/>
          <w:highlight w:val="none"/>
          <w:lang w:eastAsia="zh-CN"/>
        </w:rPr>
        <w:t>项目偏离绩效目标的问题：</w:t>
      </w:r>
    </w:p>
    <w:p w14:paraId="7E21694B">
      <w:pPr>
        <w:pStyle w:val="2"/>
        <w:numPr>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一是积极与合作运营方沟通协调，如运营方无意继续合作，我单位将通过法律手段，对运营方违约给我方造成的经济损失进行索赔。</w:t>
      </w:r>
    </w:p>
    <w:p w14:paraId="386B095B">
      <w:pPr>
        <w:pStyle w:val="2"/>
        <w:numPr>
          <w:numId w:val="0"/>
        </w:num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二是通过各种渠道，积极考察寻找新的、更适合的合作运营方。</w:t>
      </w:r>
    </w:p>
    <w:p w14:paraId="6D38F451">
      <w:pPr>
        <w:numPr>
          <w:ilvl w:val="0"/>
          <w:numId w:val="0"/>
        </w:numPr>
        <w:ind w:firstLine="640" w:firstLineChars="200"/>
        <w:jc w:val="left"/>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lang w:val="en-US" w:eastAsia="zh-CN"/>
        </w:rPr>
        <w:t>六、</w:t>
      </w:r>
      <w:r>
        <w:rPr>
          <w:rFonts w:hint="eastAsia" w:ascii="黑体" w:hAnsi="黑体" w:eastAsia="黑体" w:cs="黑体"/>
          <w:color w:val="auto"/>
          <w:kern w:val="2"/>
          <w:sz w:val="32"/>
          <w:szCs w:val="32"/>
          <w:highlight w:val="none"/>
          <w:lang w:val="en-US" w:eastAsia="zh-CN" w:bidi="ar-SA"/>
        </w:rPr>
        <w:t>机制创新</w:t>
      </w:r>
    </w:p>
    <w:p w14:paraId="2E700DC4">
      <w:pPr>
        <w:numPr>
          <w:ilvl w:val="0"/>
          <w:numId w:val="0"/>
        </w:numPr>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在衔接及整合资金项目管理方面。</w:t>
      </w:r>
      <w:r>
        <w:rPr>
          <w:rFonts w:hint="eastAsia" w:ascii="仿宋" w:hAnsi="仿宋" w:eastAsia="仿宋" w:cs="仿宋"/>
          <w:kern w:val="2"/>
          <w:sz w:val="32"/>
          <w:szCs w:val="32"/>
          <w:lang w:val="en-US" w:eastAsia="zh-CN" w:bidi="ar-SA"/>
        </w:rPr>
        <w:t>把资金安全和收益保障放在首位，项目在“保资金、保收益”的原则下，鼓励开展政企共同投资、企业独立运营的合作模式。</w:t>
      </w:r>
      <w:r>
        <w:rPr>
          <w:rFonts w:hint="eastAsia" w:ascii="仿宋" w:hAnsi="仿宋" w:eastAsia="仿宋" w:cs="仿宋"/>
          <w:color w:val="auto"/>
          <w:kern w:val="2"/>
          <w:sz w:val="32"/>
          <w:szCs w:val="32"/>
          <w:highlight w:val="none"/>
          <w:lang w:val="en-US" w:eastAsia="zh-CN" w:bidi="ar-SA"/>
        </w:rPr>
        <w:t>我中心建立了靖宇县巩固拓展脱贫攻坚成果与乡村振兴有效衔接周工作“旬通报”机制，制定了工作任务清单和常态化工作任务清单，及时调度项目实施进度、资金支出进度以及相关项目工作。</w:t>
      </w:r>
    </w:p>
    <w:p w14:paraId="33041AA2">
      <w:pPr>
        <w:numPr>
          <w:ilvl w:val="0"/>
          <w:numId w:val="0"/>
        </w:numPr>
        <w:ind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在示范村创建方面。为圆满完成千村美丽创建任务，我县不断创新工作方式方法，采取以开展示范村创建“谈思路、比创新、亮成果、树典型”比创活动。各乡镇通过活动不断探索新路径、推出新举措、实现新突破，全力营造创先争优、比学赶超的浓厚氛围，以活动推进项目进度。</w:t>
      </w:r>
    </w:p>
    <w:p w14:paraId="4F3EA0CC">
      <w:pPr>
        <w:pStyle w:val="2"/>
        <w:rPr>
          <w:rFonts w:hint="eastAsia" w:ascii="仿宋_GB2312" w:hAnsi="仿宋_GB2312" w:eastAsia="仿宋_GB2312" w:cs="仿宋_GB2312"/>
          <w:color w:val="auto"/>
          <w:kern w:val="2"/>
          <w:sz w:val="32"/>
          <w:szCs w:val="32"/>
          <w:lang w:val="en-US" w:eastAsia="zh-CN" w:bidi="ar-SA"/>
        </w:rPr>
      </w:pPr>
    </w:p>
    <w:p w14:paraId="38953813">
      <w:pPr>
        <w:pStyle w:val="2"/>
        <w:rPr>
          <w:rFonts w:hint="eastAsia" w:ascii="仿宋_GB2312" w:hAnsi="仿宋_GB2312" w:eastAsia="仿宋_GB2312" w:cs="仿宋_GB2312"/>
          <w:color w:val="auto"/>
          <w:kern w:val="2"/>
          <w:sz w:val="32"/>
          <w:szCs w:val="32"/>
          <w:lang w:val="en-US" w:eastAsia="zh-CN" w:bidi="ar-SA"/>
        </w:rPr>
      </w:pPr>
    </w:p>
    <w:p w14:paraId="437615A4">
      <w:pPr>
        <w:pStyle w:val="2"/>
        <w:rPr>
          <w:rFonts w:hint="eastAsia" w:ascii="仿宋_GB2312" w:hAnsi="仿宋_GB2312" w:eastAsia="仿宋_GB2312" w:cs="仿宋_GB2312"/>
          <w:color w:val="auto"/>
          <w:kern w:val="2"/>
          <w:sz w:val="32"/>
          <w:szCs w:val="32"/>
          <w:lang w:val="en-US" w:eastAsia="zh-CN" w:bidi="ar-SA"/>
        </w:rPr>
      </w:pPr>
    </w:p>
    <w:p w14:paraId="438EA23B">
      <w:pPr>
        <w:pStyle w:val="2"/>
        <w:rPr>
          <w:rFonts w:hint="eastAsia" w:ascii="仿宋_GB2312" w:hAnsi="仿宋_GB2312" w:eastAsia="仿宋_GB2312" w:cs="仿宋_GB2312"/>
          <w:color w:val="auto"/>
          <w:kern w:val="2"/>
          <w:sz w:val="32"/>
          <w:szCs w:val="32"/>
          <w:lang w:val="en-US" w:eastAsia="zh-CN" w:bidi="ar-SA"/>
        </w:rPr>
      </w:pPr>
    </w:p>
    <w:p w14:paraId="02B136C5">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靖宇县乡村振兴服务中心</w:t>
      </w:r>
    </w:p>
    <w:p w14:paraId="05C2447F">
      <w:pPr>
        <w:pStyle w:val="2"/>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2024年9月19日</w:t>
      </w:r>
    </w:p>
    <w:p w14:paraId="3054823B">
      <w:pPr>
        <w:numPr>
          <w:ilvl w:val="0"/>
          <w:numId w:val="0"/>
        </w:numPr>
        <w:ind w:firstLine="640" w:firstLineChars="200"/>
        <w:jc w:val="left"/>
        <w:rPr>
          <w:rFonts w:hint="eastAsia" w:ascii="仿宋" w:hAnsi="仿宋" w:eastAsia="仿宋" w:cs="仿宋"/>
          <w:color w:val="auto"/>
          <w:kern w:val="2"/>
          <w:sz w:val="32"/>
          <w:szCs w:val="32"/>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5830B">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2E354">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42E354">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4ADB8"/>
    <w:multiLevelType w:val="singleLevel"/>
    <w:tmpl w:val="BF24ADB8"/>
    <w:lvl w:ilvl="0" w:tentative="0">
      <w:start w:val="1"/>
      <w:numFmt w:val="chineseCounting"/>
      <w:suff w:val="nothing"/>
      <w:lvlText w:val="%1、"/>
      <w:lvlJc w:val="left"/>
      <w:pPr>
        <w:ind w:left="640" w:leftChars="0" w:firstLine="0" w:firstLineChars="0"/>
      </w:pPr>
      <w:rPr>
        <w:rFonts w:hint="eastAsia" w:ascii="仿宋_GB2312" w:hAnsi="仿宋_GB2312" w:eastAsia="仿宋_GB2312" w:cs="仿宋_GB2312"/>
        <w:sz w:val="32"/>
        <w:szCs w:val="32"/>
      </w:rPr>
    </w:lvl>
  </w:abstractNum>
  <w:abstractNum w:abstractNumId="1">
    <w:nsid w:val="CCCDEC22"/>
    <w:multiLevelType w:val="singleLevel"/>
    <w:tmpl w:val="CCCDEC22"/>
    <w:lvl w:ilvl="0" w:tentative="0">
      <w:start w:val="1"/>
      <w:numFmt w:val="chineseCounting"/>
      <w:suff w:val="nothing"/>
      <w:lvlText w:val="（%1）"/>
      <w:lvlJc w:val="left"/>
      <w:rPr>
        <w:rFonts w:hint="eastAsia"/>
      </w:rPr>
    </w:lvl>
  </w:abstractNum>
  <w:abstractNum w:abstractNumId="2">
    <w:nsid w:val="3843FBED"/>
    <w:multiLevelType w:val="singleLevel"/>
    <w:tmpl w:val="3843FBED"/>
    <w:lvl w:ilvl="0" w:tentative="0">
      <w:start w:val="5"/>
      <w:numFmt w:val="chineseCounting"/>
      <w:suff w:val="nothing"/>
      <w:lvlText w:val="%1、"/>
      <w:lvlJc w:val="left"/>
      <w:rPr>
        <w:rFonts w:hint="eastAsia"/>
      </w:rPr>
    </w:lvl>
  </w:abstractNum>
  <w:abstractNum w:abstractNumId="3">
    <w:nsid w:val="3FEE58C3"/>
    <w:multiLevelType w:val="singleLevel"/>
    <w:tmpl w:val="3FEE58C3"/>
    <w:lvl w:ilvl="0" w:tentative="0">
      <w:start w:val="4"/>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wYTQwOTc5NWRmMjlmYTJmZTZkOTg4MWE4ZDI0MmEifQ=="/>
  </w:docVars>
  <w:rsids>
    <w:rsidRoot w:val="00000000"/>
    <w:rsid w:val="00A46138"/>
    <w:rsid w:val="028E382A"/>
    <w:rsid w:val="02956D77"/>
    <w:rsid w:val="03123DCA"/>
    <w:rsid w:val="04035DD2"/>
    <w:rsid w:val="046E52E4"/>
    <w:rsid w:val="04801CC7"/>
    <w:rsid w:val="04A13B9C"/>
    <w:rsid w:val="063E0A32"/>
    <w:rsid w:val="064562B0"/>
    <w:rsid w:val="06E11AE9"/>
    <w:rsid w:val="07923E6C"/>
    <w:rsid w:val="07C80D7C"/>
    <w:rsid w:val="07F81539"/>
    <w:rsid w:val="08DF02AB"/>
    <w:rsid w:val="098F6313"/>
    <w:rsid w:val="09CA6D90"/>
    <w:rsid w:val="0B563E1A"/>
    <w:rsid w:val="0B726A4D"/>
    <w:rsid w:val="0D054530"/>
    <w:rsid w:val="0EB50EC8"/>
    <w:rsid w:val="0F9067A2"/>
    <w:rsid w:val="10E62F94"/>
    <w:rsid w:val="11E30749"/>
    <w:rsid w:val="12B502CE"/>
    <w:rsid w:val="15F106C0"/>
    <w:rsid w:val="161F0C76"/>
    <w:rsid w:val="171B30F9"/>
    <w:rsid w:val="18D503A7"/>
    <w:rsid w:val="1C752FA8"/>
    <w:rsid w:val="1D80337E"/>
    <w:rsid w:val="1F953961"/>
    <w:rsid w:val="1FE43FA1"/>
    <w:rsid w:val="20376F70"/>
    <w:rsid w:val="205E01F7"/>
    <w:rsid w:val="2690489B"/>
    <w:rsid w:val="26B80661"/>
    <w:rsid w:val="28793E20"/>
    <w:rsid w:val="288F41F4"/>
    <w:rsid w:val="28F31788"/>
    <w:rsid w:val="29973107"/>
    <w:rsid w:val="29DB01C2"/>
    <w:rsid w:val="2B5135D5"/>
    <w:rsid w:val="2BB16660"/>
    <w:rsid w:val="2BC93C0E"/>
    <w:rsid w:val="2D056B20"/>
    <w:rsid w:val="2FD91648"/>
    <w:rsid w:val="33DD5D26"/>
    <w:rsid w:val="33F464A6"/>
    <w:rsid w:val="36693F11"/>
    <w:rsid w:val="371563A4"/>
    <w:rsid w:val="3868554E"/>
    <w:rsid w:val="3A267443"/>
    <w:rsid w:val="3B3600AF"/>
    <w:rsid w:val="3C8F44D4"/>
    <w:rsid w:val="3CEB4122"/>
    <w:rsid w:val="3E597C5F"/>
    <w:rsid w:val="3EA034A1"/>
    <w:rsid w:val="3EEF72A4"/>
    <w:rsid w:val="401F2910"/>
    <w:rsid w:val="409D5461"/>
    <w:rsid w:val="427C6402"/>
    <w:rsid w:val="43046A7E"/>
    <w:rsid w:val="43F500B0"/>
    <w:rsid w:val="44536874"/>
    <w:rsid w:val="47486892"/>
    <w:rsid w:val="49583B27"/>
    <w:rsid w:val="4D4C4DB0"/>
    <w:rsid w:val="4FFB486F"/>
    <w:rsid w:val="5043249A"/>
    <w:rsid w:val="51D30376"/>
    <w:rsid w:val="523807BA"/>
    <w:rsid w:val="54224ABC"/>
    <w:rsid w:val="562C3EB6"/>
    <w:rsid w:val="59197F62"/>
    <w:rsid w:val="5987789B"/>
    <w:rsid w:val="59DB6D12"/>
    <w:rsid w:val="5BEA2363"/>
    <w:rsid w:val="5C635E0D"/>
    <w:rsid w:val="5D7E2D63"/>
    <w:rsid w:val="5E2E29DB"/>
    <w:rsid w:val="60FB78B8"/>
    <w:rsid w:val="623A3138"/>
    <w:rsid w:val="6408210E"/>
    <w:rsid w:val="66934C5F"/>
    <w:rsid w:val="68C80CA8"/>
    <w:rsid w:val="69F97106"/>
    <w:rsid w:val="6A822285"/>
    <w:rsid w:val="6C3B62C3"/>
    <w:rsid w:val="6C7B0BA6"/>
    <w:rsid w:val="6CDF30F3"/>
    <w:rsid w:val="6DA94052"/>
    <w:rsid w:val="6E947208"/>
    <w:rsid w:val="6EDE64ED"/>
    <w:rsid w:val="705949D0"/>
    <w:rsid w:val="72C20189"/>
    <w:rsid w:val="730E1012"/>
    <w:rsid w:val="74CB56C9"/>
    <w:rsid w:val="74D252CE"/>
    <w:rsid w:val="76B63B2B"/>
    <w:rsid w:val="77B7729B"/>
    <w:rsid w:val="78276D39"/>
    <w:rsid w:val="79BE0C60"/>
    <w:rsid w:val="79D35A74"/>
    <w:rsid w:val="7B3665D4"/>
    <w:rsid w:val="7DAE537A"/>
    <w:rsid w:val="7E236902"/>
    <w:rsid w:val="7E6026A7"/>
    <w:rsid w:val="7F09322F"/>
    <w:rsid w:val="7F277D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1"/>
    <w:qFormat/>
    <w:uiPriority w:val="0"/>
    <w:pPr>
      <w:adjustRightInd w:val="0"/>
      <w:snapToGrid w:val="0"/>
      <w:spacing w:line="300" w:lineRule="auto"/>
    </w:pPr>
    <w:rPr>
      <w:rFonts w:eastAsia="黑体"/>
      <w:sz w:val="36"/>
    </w:rPr>
  </w:style>
  <w:style w:type="paragraph" w:styleId="4">
    <w:name w:val="Normal Indent"/>
    <w:basedOn w:val="1"/>
    <w:qFormat/>
    <w:uiPriority w:val="0"/>
    <w:pPr>
      <w:spacing w:line="360" w:lineRule="auto"/>
      <w:ind w:firstLine="420" w:firstLineChars="200"/>
    </w:pPr>
    <w:rPr>
      <w:rFonts w:ascii="Calibri" w:hAnsi="Calibri"/>
      <w:sz w:val="24"/>
    </w:rPr>
  </w:style>
  <w:style w:type="paragraph" w:styleId="5">
    <w:name w:val="index 5"/>
    <w:basedOn w:val="1"/>
    <w:next w:val="1"/>
    <w:unhideWhenUsed/>
    <w:qFormat/>
    <w:uiPriority w:val="99"/>
    <w:rPr>
      <w:rFonts w:ascii="方正楷体_GBK" w:eastAsia="方正楷体_GBK"/>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pPr>
      <w:spacing w:line="660" w:lineRule="exact"/>
      <w:ind w:firstLine="705"/>
    </w:pPr>
    <w:rPr>
      <w:rFonts w:ascii="仿宋_GB2312" w:eastAsia="仿宋_GB2312"/>
      <w:color w:val="000000"/>
      <w:sz w:val="36"/>
      <w:szCs w:val="36"/>
    </w:rPr>
  </w:style>
  <w:style w:type="paragraph" w:styleId="9">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10">
    <w:name w:val="Body Text 2"/>
    <w:autoRedefine/>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autoRedefine/>
    <w:qFormat/>
    <w:uiPriority w:val="0"/>
    <w:rPr>
      <w:b/>
    </w:rPr>
  </w:style>
  <w:style w:type="paragraph" w:customStyle="1" w:styleId="15">
    <w:name w:val="正文文本1"/>
    <w:basedOn w:val="1"/>
    <w:autoRedefine/>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6">
    <w:name w:val="Default"/>
    <w:autoRedefine/>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1425</Words>
  <Characters>1508</Characters>
  <Lines>0</Lines>
  <Paragraphs>0</Paragraphs>
  <TotalTime>5380</TotalTime>
  <ScaleCrop>false</ScaleCrop>
  <LinksUpToDate>false</LinksUpToDate>
  <CharactersWithSpaces>1562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dc:creator>
  <cp:lastModifiedBy>宪成</cp:lastModifiedBy>
  <cp:lastPrinted>2024-09-23T00:57:31Z</cp:lastPrinted>
  <dcterms:modified xsi:type="dcterms:W3CDTF">2024-09-23T01:13:22Z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EE92CDDEF1EA4212A956627298F87BB3_13</vt:lpwstr>
  </property>
</Properties>
</file>